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png" ContentType="image/pn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40"/>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283"/>
        <w:jc w:val="center"/>
        <w:rPr>
          <w:rFonts w:ascii="Times New Roman;serif" w:hAnsi="Times New Roman;serif"/>
          <w:b/>
          <w:color w:val="000000"/>
          <w:sz w:val="36"/>
        </w:rPr>
      </w:pPr>
      <w:r>
        <w:rPr>
          <w:rFonts w:ascii="Times New Roman;serif" w:hAnsi="Times New Roman;serif"/>
          <w:b/>
          <w:color w:val="000000"/>
          <w:sz w:val="36"/>
        </w:rPr>
        <w:t xml:space="preserve">FORM 8-K </w:t>
      </w: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CURRENT REPORT</w:t>
      </w:r>
    </w:p>
    <w:p>
      <w:pPr>
        <w:pStyle w:val="TextBody"/>
        <w:bidi w:val="0"/>
        <w:spacing w:lineRule="auto" w:line="288" w:before="180" w:after="283"/>
        <w:jc w:val="center"/>
        <w:rPr>
          <w:rFonts w:ascii="Times New Roman;serif" w:hAnsi="Times New Roman;serif"/>
          <w:b/>
          <w:color w:val="000000"/>
          <w:sz w:val="24"/>
        </w:rPr>
      </w:pPr>
      <w:r>
        <w:rPr>
          <w:rFonts w:ascii="Times New Roman;serif" w:hAnsi="Times New Roman;serif"/>
          <w:b/>
          <w:color w:val="000000"/>
          <w:sz w:val="24"/>
        </w:rPr>
        <w:t>Pursuant to Section 13 OR 15(d) of the</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Securities Exchange Act of 1934</w:t>
      </w:r>
    </w:p>
    <w:p>
      <w:pPr>
        <w:pStyle w:val="TextBody"/>
        <w:bidi w:val="0"/>
        <w:spacing w:lineRule="auto" w:line="288" w:before="180" w:after="283"/>
        <w:jc w:val="center"/>
        <w:rPr>
          <w:rFonts w:ascii="Times New Roman;serif" w:hAnsi="Times New Roman;serif"/>
          <w:b/>
          <w:color w:val="000000"/>
          <w:sz w:val="24"/>
        </w:rPr>
      </w:pPr>
      <w:r>
        <w:rPr>
          <w:rFonts w:ascii="Times New Roman;serif" w:hAnsi="Times New Roman;serif"/>
          <w:b/>
          <w:color w:val="000000"/>
          <w:sz w:val="24"/>
        </w:rPr>
        <w:t>Date of Report (Date of earliest event reported): July 15, 2026</w:t>
      </w: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283"/>
        <w:jc w:val="center"/>
        <w:rPr>
          <w:rFonts w:ascii="Times New Roman;serif" w:hAnsi="Times New Roman;serif"/>
          <w:b/>
          <w:color w:val="000000"/>
          <w:sz w:val="48"/>
        </w:rPr>
      </w:pPr>
      <w:r>
        <w:rPr>
          <w:rFonts w:ascii="Times New Roman;serif" w:hAnsi="Times New Roman;serif"/>
          <w:b/>
          <w:color w:val="000000"/>
          <w:sz w:val="48"/>
        </w:rPr>
        <w:t xml:space="preserve">Carlyle Secured Lending, Inc.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5673" w:type="dxa"/>
        <w:jc w:val="center"/>
        <w:tblInd w:w="0" w:type="dxa"/>
        <w:tblLayout w:type="fixed"/>
        <w:tblCellMar>
          <w:top w:w="28" w:type="dxa"/>
          <w:left w:w="28" w:type="dxa"/>
          <w:bottom w:w="28" w:type="dxa"/>
          <w:right w:w="28" w:type="dxa"/>
        </w:tblCellMar>
      </w:tblPr>
      <w:tblGrid>
        <w:gridCol w:w="774"/>
        <w:gridCol w:w="682"/>
        <w:gridCol w:w="688"/>
        <w:gridCol w:w="109"/>
        <w:gridCol w:w="109"/>
        <w:gridCol w:w="109"/>
        <w:gridCol w:w="353"/>
        <w:gridCol w:w="353"/>
        <w:gridCol w:w="358"/>
        <w:gridCol w:w="109"/>
        <w:gridCol w:w="109"/>
        <w:gridCol w:w="109"/>
        <w:gridCol w:w="109"/>
        <w:gridCol w:w="109"/>
        <w:gridCol w:w="109"/>
        <w:gridCol w:w="433"/>
        <w:gridCol w:w="433"/>
        <w:gridCol w:w="618"/>
      </w:tblGrid>
      <w:tr>
        <w:trPr/>
        <w:tc>
          <w:tcPr>
            <w:tcW w:w="774"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rPr/>
        <w:tc>
          <w:tcPr>
            <w:tcW w:w="21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Maryland</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814-00995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80-0789789</w:t>
            </w:r>
          </w:p>
        </w:tc>
      </w:tr>
      <w:tr>
        <w:trPr/>
        <w:tc>
          <w:tcPr>
            <w:tcW w:w="21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(State or Other Jurisdiction</w:t>
              <w:br/>
              <w:t>of Incorporation)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(Commission</w:t>
              <w:br/>
              <w:t>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(IRS Employer</w:t>
              <w:br/>
              <w:t>Identification No.)</w:t>
            </w:r>
          </w:p>
        </w:tc>
      </w:tr>
      <w:tr>
        <w:trPr/>
        <w:tc>
          <w:tcPr>
            <w:tcW w:w="3535"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One Vanderbilt Avenue, Suite 3400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New York</w:t>
            </w:r>
          </w:p>
        </w:tc>
        <w:tc>
          <w:tcPr>
            <w:tcW w:w="1391"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New York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10017</w:t>
            </w:r>
          </w:p>
        </w:tc>
      </w:tr>
      <w:tr>
        <w:trPr/>
        <w:tc>
          <w:tcPr>
            <w:tcW w:w="353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(Zip Code)</w:t>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(212) 813-4900 </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(Registrant’s Telephone Number, Including Area Code)</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Not Applicable</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(Former Name or Former Address, if Changed Since Last Report)</w:t>
      </w:r>
    </w:p>
    <w:p>
      <w:pPr>
        <w:pStyle w:val="TextBody"/>
        <w:bidi w:val="0"/>
        <w:spacing w:lineRule="auto" w:line="288" w:before="100" w:after="283"/>
        <w:jc w:val="left"/>
        <w:rPr>
          <w:rFonts w:ascii="Times New Roman;serif" w:hAnsi="Times New Roman;serif"/>
          <w:b w:val="false"/>
          <w:color w:val="000000"/>
          <w:sz w:val="18"/>
        </w:rPr>
      </w:pPr>
      <w:r>
        <w:rPr>
          <w:rFonts w:ascii="Times New Roman;serif" w:hAnsi="Times New Roman;serif"/>
          <w:b w:val="false"/>
          <w:color w:val="000000"/>
          <w:sz w:val="18"/>
        </w:rPr>
        <w:t>Check the appropriate box below if the Form 8-K filing is intended to simultaneously satisfy the filing obligation of the registrant under any of the following provisions (see General Instruction A.2. below):</w:t>
      </w:r>
    </w:p>
    <w:tbl>
      <w:tblPr>
        <w:tblW w:w="8442" w:type="dxa"/>
        <w:jc w:val="left"/>
        <w:tblInd w:w="0" w:type="dxa"/>
        <w:tblLayout w:type="fixed"/>
        <w:tblCellMar>
          <w:top w:w="28" w:type="dxa"/>
          <w:left w:w="28" w:type="dxa"/>
          <w:bottom w:w="28" w:type="dxa"/>
          <w:right w:w="28" w:type="dxa"/>
        </w:tblCellMar>
      </w:tblPr>
      <w:tblGrid>
        <w:gridCol w:w="124"/>
        <w:gridCol w:w="109"/>
        <w:gridCol w:w="109"/>
        <w:gridCol w:w="2369"/>
        <w:gridCol w:w="2369"/>
        <w:gridCol w:w="336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9" w:type="dxa"/>
            <w:tcBorders/>
            <w:vAlign w:val="center"/>
          </w:tcPr>
          <w:p>
            <w:pPr>
              <w:pStyle w:val="TableContents"/>
              <w:bidi w:val="0"/>
              <w:spacing w:before="0" w:after="283"/>
              <w:jc w:val="left"/>
              <w:rPr>
                <w:sz w:val="4"/>
                <w:szCs w:val="4"/>
              </w:rPr>
            </w:pPr>
            <w:r>
              <w:rPr>
                <w:sz w:val="4"/>
                <w:szCs w:val="4"/>
              </w:rPr>
            </w:r>
          </w:p>
        </w:tc>
        <w:tc>
          <w:tcPr>
            <w:tcW w:w="2369" w:type="dxa"/>
            <w:tcBorders/>
            <w:vAlign w:val="center"/>
          </w:tcPr>
          <w:p>
            <w:pPr>
              <w:pStyle w:val="TableContents"/>
              <w:bidi w:val="0"/>
              <w:spacing w:before="0" w:after="283"/>
              <w:jc w:val="left"/>
              <w:rPr>
                <w:sz w:val="4"/>
                <w:szCs w:val="4"/>
              </w:rPr>
            </w:pPr>
            <w:r>
              <w:rPr>
                <w:sz w:val="4"/>
                <w:szCs w:val="4"/>
              </w:rPr>
            </w:r>
          </w:p>
        </w:tc>
        <w:tc>
          <w:tcPr>
            <w:tcW w:w="336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81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81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81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81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Pre-commencement communications pursuant to Rule 13e-4(c) under the Exchange Act (17 CFR 240.13e-4(c))</w:t>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Securities registered pursuant to Section 12(b) of the Act:</w:t>
      </w:r>
    </w:p>
    <w:tbl>
      <w:tblPr>
        <w:tblW w:w="6162" w:type="dxa"/>
        <w:jc w:val="center"/>
        <w:tblInd w:w="0" w:type="dxa"/>
        <w:tblLayout w:type="fixed"/>
        <w:tblCellMar>
          <w:top w:w="28" w:type="dxa"/>
          <w:left w:w="28" w:type="dxa"/>
          <w:bottom w:w="28" w:type="dxa"/>
          <w:right w:w="28" w:type="dxa"/>
        </w:tblCellMar>
      </w:tblPr>
      <w:tblGrid>
        <w:gridCol w:w="504"/>
        <w:gridCol w:w="442"/>
        <w:gridCol w:w="448"/>
        <w:gridCol w:w="484"/>
        <w:gridCol w:w="484"/>
        <w:gridCol w:w="486"/>
        <w:gridCol w:w="970"/>
        <w:gridCol w:w="970"/>
        <w:gridCol w:w="1374"/>
      </w:tblGrid>
      <w:tr>
        <w:trPr/>
        <w:tc>
          <w:tcPr>
            <w:tcW w:w="504"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r>
      <w:tr>
        <w:trPr/>
        <w:tc>
          <w:tcPr>
            <w:tcW w:w="13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Title of each class</w:t>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Trading Symbol(s)</w:t>
            </w:r>
          </w:p>
        </w:tc>
        <w:tc>
          <w:tcPr>
            <w:tcW w:w="33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Name of each exchange on which registered</w:t>
            </w:r>
          </w:p>
        </w:tc>
      </w:tr>
      <w:tr>
        <w:trPr/>
        <w:tc>
          <w:tcPr>
            <w:tcW w:w="13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Common Stock</w:t>
            </w:r>
          </w:p>
        </w:tc>
        <w:tc>
          <w:tcPr>
            <w:tcW w:w="14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CGBD</w:t>
            </w:r>
          </w:p>
        </w:tc>
        <w:tc>
          <w:tcPr>
            <w:tcW w:w="33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The Nasdaq Global Select Market</w:t>
            </w:r>
          </w:p>
        </w:tc>
      </w:tr>
    </w:tbl>
    <w:p>
      <w:pPr>
        <w:pStyle w:val="TextBody"/>
        <w:bidi w:val="0"/>
        <w:spacing w:lineRule="auto" w:line="288" w:before="120" w:after="283"/>
        <w:jc w:val="left"/>
        <w:rPr>
          <w:rFonts w:ascii="Times New Roman;serif" w:hAnsi="Times New Roman;serif"/>
          <w:b w:val="false"/>
          <w:color w:val="000000"/>
          <w:sz w:val="18"/>
        </w:rPr>
      </w:pPr>
      <w:r>
        <w:rPr>
          <w:rFonts w:ascii="Times New Roman;serif" w:hAnsi="Times New Roman;serif"/>
          <w:b w:val="false"/>
          <w:color w:val="000000"/>
          <w:sz w:val="18"/>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100" w:after="283"/>
        <w:jc w:val="left"/>
        <w:rPr/>
      </w:pPr>
      <w:r>
        <w:rPr>
          <w:color w:val="000000"/>
        </w:rPr>
        <w:t>    </w:t>
      </w:r>
      <w:r>
        <w:rPr>
          <w:rFonts w:ascii="Times New Roman;serif" w:hAnsi="Times New Roman;serif"/>
          <w:b w:val="false"/>
          <w:color w:val="000000"/>
          <w:sz w:val="18"/>
        </w:rPr>
        <w:t xml:space="preserve">Emerging growth company </w:t>
      </w:r>
      <w:r>
        <w:rPr>
          <w:color w:val="000000"/>
        </w:rPr>
        <w:t xml:space="preserve">☐ </w:t>
      </w:r>
    </w:p>
    <w:p>
      <w:pPr>
        <w:pStyle w:val="TextBody"/>
        <w:bidi w:val="0"/>
        <w:spacing w:lineRule="auto" w:line="288" w:before="100" w:after="283"/>
        <w:jc w:val="left"/>
        <w:rPr/>
      </w:pPr>
      <w:r>
        <w:rPr>
          <w:rFonts w:ascii="Times New Roman;serif" w:hAnsi="Times New Roman;serif"/>
          <w:b w:val="false"/>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100" w:after="283"/>
        <w:jc w:val="left"/>
        <w:rPr>
          <w:rFonts w:ascii="Times New Roman;serif" w:hAnsi="Times New Roman;serif"/>
          <w:b/>
          <w:color w:val="000000"/>
          <w:sz w:val="20"/>
        </w:rPr>
      </w:pPr>
      <w:r>
        <w:rPr>
          <w:rFonts w:ascii="Times New Roman;serif" w:hAnsi="Times New Roman;serif"/>
          <w:b/>
          <w:color w:val="000000"/>
          <w:sz w:val="20"/>
        </w:rPr>
        <w:t>Item 7.01 – Regulation FD Disclosure</w:t>
      </w:r>
    </w:p>
    <w:p>
      <w:pPr>
        <w:pStyle w:val="TextBody"/>
        <w:bidi w:val="0"/>
        <w:spacing w:lineRule="auto" w:line="288" w:before="119" w:after="283"/>
        <w:jc w:val="left"/>
        <w:rPr>
          <w:rFonts w:ascii="Times New Roman;serif" w:hAnsi="Times New Roman;serif"/>
          <w:b w:val="false"/>
          <w:color w:val="000000"/>
          <w:sz w:val="20"/>
        </w:rPr>
      </w:pPr>
      <w:r>
        <w:rPr>
          <w:rFonts w:ascii="Times New Roman;serif" w:hAnsi="Times New Roman;serif"/>
          <w:b w:val="false"/>
          <w:color w:val="000000"/>
          <w:sz w:val="20"/>
        </w:rPr>
        <w:t>On July 15, 2026, Carlyle Secured Lending, Inc. (the “Company”) issued a press release announcing that it will host a conference call at 11:00 a.m. (Eastern Time) on Friday, August 7, 2026 to announce its financial results for the second quarter ended June 30, 2026. A copy of the press release is attached hereto as Exhibit 99.1.</w:t>
      </w:r>
    </w:p>
    <w:p>
      <w:pPr>
        <w:pStyle w:val="TextBody"/>
        <w:bidi w:val="0"/>
        <w:spacing w:lineRule="auto" w:line="288" w:before="119" w:after="283"/>
        <w:jc w:val="left"/>
        <w:rPr>
          <w:rFonts w:ascii="Times New Roman;serif" w:hAnsi="Times New Roman;serif"/>
          <w:b w:val="false"/>
          <w:color w:val="000000"/>
          <w:sz w:val="20"/>
        </w:rPr>
      </w:pPr>
      <w:r>
        <w:rPr>
          <w:rFonts w:ascii="Times New Roman;serif" w:hAnsi="Times New Roman;serif"/>
          <w:b w:val="false"/>
          <w:color w:val="000000"/>
          <w:sz w:val="20"/>
        </w:rPr>
        <w:t>The information disclosed under this Item 7.01, including Exhibit 99.1 hereto, is being furnished and shall not be deemed “filed” for purposes of Section 18 of Securities Exchange Act of 1934, and shall not be deemed incorporated by reference into any filing made under the Securities Act 1933, except as expressly set forth by specific reference in such filing.</w:t>
      </w: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Item 9.01 – Financial Statements and Exhibits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(d)Exhibits:</w:t>
      </w:r>
    </w:p>
    <w:tbl>
      <w:tblPr>
        <w:tblW w:w="8458" w:type="dxa"/>
        <w:jc w:val="left"/>
        <w:tblInd w:w="0" w:type="dxa"/>
        <w:tblLayout w:type="fixed"/>
        <w:tblCellMar>
          <w:top w:w="28" w:type="dxa"/>
          <w:left w:w="28" w:type="dxa"/>
          <w:bottom w:w="28" w:type="dxa"/>
          <w:right w:w="28" w:type="dxa"/>
        </w:tblCellMar>
      </w:tblPr>
      <w:tblGrid>
        <w:gridCol w:w="538"/>
        <w:gridCol w:w="473"/>
        <w:gridCol w:w="475"/>
        <w:gridCol w:w="109"/>
        <w:gridCol w:w="109"/>
        <w:gridCol w:w="109"/>
        <w:gridCol w:w="1941"/>
        <w:gridCol w:w="1941"/>
        <w:gridCol w:w="2763"/>
      </w:tblGrid>
      <w:tr>
        <w:trPr/>
        <w:tc>
          <w:tcPr>
            <w:tcW w:w="538"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1" w:type="dxa"/>
            <w:tcBorders/>
            <w:vAlign w:val="center"/>
          </w:tcPr>
          <w:p>
            <w:pPr>
              <w:pStyle w:val="TableContents"/>
              <w:bidi w:val="0"/>
              <w:spacing w:before="0" w:after="283"/>
              <w:jc w:val="left"/>
              <w:rPr>
                <w:sz w:val="4"/>
                <w:szCs w:val="4"/>
              </w:rPr>
            </w:pPr>
            <w:r>
              <w:rPr>
                <w:sz w:val="4"/>
                <w:szCs w:val="4"/>
              </w:rPr>
            </w:r>
          </w:p>
        </w:tc>
        <w:tc>
          <w:tcPr>
            <w:tcW w:w="1941" w:type="dxa"/>
            <w:tcBorders/>
            <w:vAlign w:val="center"/>
          </w:tcPr>
          <w:p>
            <w:pPr>
              <w:pStyle w:val="TableContents"/>
              <w:bidi w:val="0"/>
              <w:spacing w:before="0" w:after="283"/>
              <w:jc w:val="left"/>
              <w:rPr>
                <w:sz w:val="4"/>
                <w:szCs w:val="4"/>
              </w:rPr>
            </w:pPr>
            <w:r>
              <w:rPr>
                <w:sz w:val="4"/>
                <w:szCs w:val="4"/>
              </w:rPr>
            </w:r>
          </w:p>
        </w:tc>
        <w:tc>
          <w:tcPr>
            <w:tcW w:w="2763" w:type="dxa"/>
            <w:tcBorders/>
            <w:vAlign w:val="center"/>
          </w:tcPr>
          <w:p>
            <w:pPr>
              <w:pStyle w:val="TableContents"/>
              <w:bidi w:val="0"/>
              <w:spacing w:before="0" w:after="283"/>
              <w:jc w:val="left"/>
              <w:rPr>
                <w:sz w:val="4"/>
                <w:szCs w:val="4"/>
              </w:rPr>
            </w:pPr>
            <w:r>
              <w:rPr>
                <w:sz w:val="4"/>
                <w:szCs w:val="4"/>
              </w:rPr>
            </w:r>
          </w:p>
        </w:tc>
      </w:tr>
      <w:tr>
        <w:trPr/>
        <w:tc>
          <w:tcPr>
            <w:tcW w:w="1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Exhibit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Description</w:t>
            </w:r>
          </w:p>
        </w:tc>
      </w:tr>
      <w:tr>
        <w:trPr/>
        <w:tc>
          <w:tcPr>
            <w:tcW w:w="14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6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cgbd_2026630xxex991earning.htm">
              <w:r>
                <w:rPr>
                  <w:rStyle w:val="InternetLink"/>
                  <w:rFonts w:ascii="Times New Roman;serif" w:hAnsi="Times New Roman;serif"/>
                  <w:b w:val="false"/>
                  <w:color w:val="000080"/>
                  <w:sz w:val="20"/>
                  <w:u w:val="single"/>
                </w:rPr>
                <w:t>Press Release, dated July 1</w:t>
              </w:r>
            </w:hyperlink>
            <w:hyperlink w:anchor="cgbd_2026630xxex991earning.htm">
              <w:r>
                <w:rPr>
                  <w:rStyle w:val="InternetLink"/>
                  <w:rFonts w:ascii="Times New Roman;serif" w:hAnsi="Times New Roman;serif"/>
                  <w:b w:val="false"/>
                  <w:color w:val="000080"/>
                  <w:sz w:val="20"/>
                  <w:u w:val="single"/>
                </w:rPr>
                <w:t>5</w:t>
              </w:r>
            </w:hyperlink>
            <w:hyperlink w:anchor="cgbd_2026630xxex991earning.htm">
              <w:r>
                <w:rPr>
                  <w:rStyle w:val="InternetLink"/>
                  <w:rFonts w:ascii="Times New Roman;serif" w:hAnsi="Times New Roman;serif"/>
                  <w:b w:val="false"/>
                  <w:color w:val="000080"/>
                  <w:sz w:val="20"/>
                  <w:u w:val="single"/>
                </w:rPr>
                <w:t>, 2026</w:t>
              </w:r>
            </w:hyperlink>
          </w:p>
        </w:tc>
      </w:tr>
      <w:tr>
        <w:trPr/>
        <w:tc>
          <w:tcPr>
            <w:tcW w:w="14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pStyle w:val="TextBody"/>
        <w:bidi w:val="0"/>
        <w:spacing w:before="36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tbl>
      <w:tblPr>
        <w:tblW w:w="6201" w:type="dxa"/>
        <w:jc w:val="left"/>
        <w:tblInd w:w="0" w:type="dxa"/>
        <w:tblLayout w:type="fixed"/>
        <w:tblCellMar>
          <w:top w:w="28" w:type="dxa"/>
          <w:left w:w="28" w:type="dxa"/>
          <w:bottom w:w="28" w:type="dxa"/>
          <w:right w:w="28" w:type="dxa"/>
        </w:tblCellMar>
      </w:tblPr>
      <w:tblGrid>
        <w:gridCol w:w="656"/>
        <w:gridCol w:w="576"/>
        <w:gridCol w:w="582"/>
        <w:gridCol w:w="109"/>
        <w:gridCol w:w="109"/>
        <w:gridCol w:w="109"/>
        <w:gridCol w:w="134"/>
        <w:gridCol w:w="134"/>
        <w:gridCol w:w="136"/>
        <w:gridCol w:w="109"/>
        <w:gridCol w:w="109"/>
        <w:gridCol w:w="109"/>
        <w:gridCol w:w="972"/>
        <w:gridCol w:w="972"/>
        <w:gridCol w:w="1385"/>
      </w:tblGrid>
      <w:tr>
        <w:trPr/>
        <w:tc>
          <w:tcPr>
            <w:tcW w:w="656"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1385" w:type="dxa"/>
            <w:tcBorders/>
            <w:vAlign w:val="center"/>
          </w:tcPr>
          <w:p>
            <w:pPr>
              <w:pStyle w:val="TableContents"/>
              <w:bidi w:val="0"/>
              <w:spacing w:before="0" w:after="283"/>
              <w:jc w:val="left"/>
              <w:rPr>
                <w:sz w:val="4"/>
                <w:szCs w:val="4"/>
              </w:rPr>
            </w:pPr>
            <w:r>
              <w:rPr>
                <w:sz w:val="4"/>
                <w:szCs w:val="4"/>
              </w:rPr>
            </w:r>
          </w:p>
        </w:tc>
      </w:tr>
      <w:tr>
        <w:trPr/>
        <w:tc>
          <w:tcPr>
            <w:tcW w:w="1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3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CARLYLE SECURED LENDING, INC.</w:t>
            </w:r>
          </w:p>
        </w:tc>
      </w:tr>
      <w:tr>
        <w:trPr/>
        <w:tc>
          <w:tcPr>
            <w:tcW w:w="1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3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(Registrant)</w:t>
            </w:r>
          </w:p>
        </w:tc>
      </w:tr>
      <w:tr>
        <w:trPr/>
        <w:tc>
          <w:tcPr>
            <w:tcW w:w="1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Dated: July 15, 2026</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3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Thomas M. Hennigan</w:t>
            </w:r>
          </w:p>
        </w:tc>
      </w:tr>
      <w:tr>
        <w:trPr/>
        <w:tc>
          <w:tcPr>
            <w:tcW w:w="1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3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 Thomas M. Hennigan</w:t>
            </w:r>
          </w:p>
        </w:tc>
      </w:tr>
      <w:tr>
        <w:trPr/>
        <w:tc>
          <w:tcPr>
            <w:tcW w:w="1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3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 Chief Financial Officer</w:t>
            </w:r>
          </w:p>
        </w:tc>
      </w:tr>
    </w:tbl>
    <w:p>
      <w:pPr>
        <w:pStyle w:val="TextBody"/>
        <w:bidi w:val="0"/>
        <w:spacing w:before="10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240" w:after="240"/>
        <w:jc w:val="right"/>
        <w:rPr>
          <w:rFonts w:ascii="Times New Roman;serif" w:hAnsi="Times New Roman;serif"/>
          <w:b/>
          <w:color w:val="000000"/>
          <w:sz w:val="20"/>
        </w:rPr>
      </w:pPr>
      <w:r>
        <w:rPr>
          <w:rFonts w:ascii="Times New Roman;serif" w:hAnsi="Times New Roman;serif"/>
          <w:b/>
          <w:color w:val="000000"/>
          <w:sz w:val="20"/>
        </w:rPr>
        <w:t>EXHIBIT 99.1</w:t>
      </w:r>
    </w:p>
    <w:p>
      <w:pPr>
        <w:pStyle w:val="TextBody"/>
        <w:bidi w:val="0"/>
        <w:spacing w:before="240" w:after="240"/>
        <w:jc w:val="center"/>
        <w:rPr/>
      </w:pPr>
      <w:r>
        <w:rPr/>
        <w:drawing>
          <wp:inline distT="0" distB="0" distL="0" distR="0">
            <wp:extent cx="2857500" cy="752475"/>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2857500" cy="752475"/>
                    </a:xfrm>
                    <a:prstGeom prst="rect">
                      <a:avLst/>
                    </a:prstGeom>
                  </pic:spPr>
                </pic:pic>
              </a:graphicData>
            </a:graphic>
          </wp:inline>
        </w:drawing>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For Immediate Release</w:t>
      </w:r>
    </w:p>
    <w:p>
      <w:pPr>
        <w:pStyle w:val="TextBody"/>
        <w:bidi w:val="0"/>
        <w:spacing w:lineRule="auto" w:line="288" w:before="0" w:after="240"/>
        <w:jc w:val="left"/>
        <w:rPr>
          <w:rFonts w:ascii="Times New Roman;serif" w:hAnsi="Times New Roman;serif"/>
          <w:b/>
          <w:color w:val="000000"/>
          <w:sz w:val="22"/>
        </w:rPr>
      </w:pPr>
      <w:r>
        <w:rPr>
          <w:rFonts w:ascii="Times New Roman;serif" w:hAnsi="Times New Roman;serif"/>
          <w:b/>
          <w:color w:val="000000"/>
          <w:sz w:val="22"/>
        </w:rPr>
        <w:t xml:space="preserve">July 15, 2026 </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Carlyle Secured Lending, Inc. Schedules Earnings Release and Quarterly Earnings Call to Discuss its Financial Results for the Second Quarter Ended June 30, 2026</w:t>
      </w:r>
    </w:p>
    <w:p>
      <w:pPr>
        <w:pStyle w:val="TextBody"/>
        <w:bidi w:val="0"/>
        <w:spacing w:lineRule="auto" w:line="288" w:before="240" w:after="240"/>
        <w:jc w:val="both"/>
        <w:rPr/>
      </w:pPr>
      <w:r>
        <w:rPr>
          <w:rFonts w:ascii="Times New Roman;serif" w:hAnsi="Times New Roman;serif"/>
          <w:b/>
          <w:color w:val="000000"/>
          <w:sz w:val="20"/>
        </w:rPr>
        <w:t>New York</w:t>
      </w:r>
      <w:r>
        <w:rPr>
          <w:color w:val="000000"/>
        </w:rPr>
        <w:t xml:space="preserve"> – </w:t>
      </w:r>
      <w:r>
        <w:rPr>
          <w:rFonts w:ascii="Times New Roman;serif" w:hAnsi="Times New Roman;serif"/>
          <w:b w:val="false"/>
          <w:color w:val="000000"/>
          <w:sz w:val="20"/>
        </w:rPr>
        <w:t xml:space="preserve">Carlyle Secured Lending, Inc. (“Carlyle Secured Lending”) (NASDAQ: CGBD) will host a conference call at 11:00 a.m. (Eastern Time) on Friday, August 7, 2026 to announce its financial results for the second quarter ended June 30, 2026. The Company will report its quarterly financial results on Thursday, August 6, 2026. </w:t>
      </w:r>
    </w:p>
    <w:p>
      <w:pPr>
        <w:pStyle w:val="TextBody"/>
        <w:bidi w:val="0"/>
        <w:spacing w:lineRule="auto" w:line="288" w:before="240" w:after="240"/>
        <w:jc w:val="both"/>
        <w:rPr>
          <w:rFonts w:ascii="Times New Roman;serif" w:hAnsi="Times New Roman;serif"/>
          <w:b w:val="false"/>
          <w:color w:val="000000"/>
          <w:sz w:val="20"/>
        </w:rPr>
      </w:pPr>
      <w:r>
        <w:rPr>
          <w:rFonts w:ascii="Times New Roman;serif" w:hAnsi="Times New Roman;serif"/>
          <w:b w:val="false"/>
          <w:color w:val="000000"/>
          <w:sz w:val="20"/>
        </w:rPr>
        <w:t>The conference call will be available via public webcast via a link on Carlyle Secured Lending’s website at carlylesecuredlending.com and will also be available on the website soon after the call’s completion.</w:t>
      </w:r>
    </w:p>
    <w:p>
      <w:pPr>
        <w:pStyle w:val="TextBody"/>
        <w:bidi w:val="0"/>
        <w:spacing w:lineRule="auto" w:line="288" w:before="240" w:after="240"/>
        <w:jc w:val="left"/>
        <w:rPr/>
      </w:pPr>
      <w:r>
        <w:rPr>
          <w:rFonts w:ascii="Times New Roman;serif" w:hAnsi="Times New Roman;serif"/>
          <w:b/>
          <w:color w:val="000000"/>
          <w:sz w:val="20"/>
        </w:rPr>
        <w:t>About Carlyle Secured Lending, Inc.</w:t>
      </w:r>
      <w:r>
        <w:rPr>
          <w:color w:val="000000"/>
        </w:rPr>
        <w:t xml:space="preserve">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Carlyle Secured Lending, Inc. is a publicly traded (NASDAQ: CGBD) business development company (“BDC”) which began investing in 2013. The Company focuses on providing directly originated, financing solutions across the capital structure, with a focus on senior secured lending to middle-market companies primarily located in the United States. Carlyle Secured Lending is externally managed by Carlyle Global Credit Investment Management L.L.C., an SEC-registered investment adviser and wholly owned subsidiary of Carlyle.</w:t>
      </w:r>
    </w:p>
    <w:p>
      <w:pPr>
        <w:pStyle w:val="TextBody"/>
        <w:bidi w:val="0"/>
        <w:spacing w:lineRule="auto" w:line="288" w:before="240" w:after="240"/>
        <w:jc w:val="left"/>
        <w:rPr/>
      </w:pPr>
      <w:r>
        <w:rPr>
          <w:rFonts w:ascii="Times New Roman;serif" w:hAnsi="Times New Roman;serif"/>
          <w:b/>
          <w:color w:val="000000"/>
          <w:sz w:val="20"/>
        </w:rPr>
        <w:t xml:space="preserve">Web: </w:t>
      </w:r>
      <w:r>
        <w:rPr>
          <w:rFonts w:ascii="Times New Roman;serif" w:hAnsi="Times New Roman;serif"/>
          <w:b w:val="false"/>
          <w:color w:val="0069AE"/>
          <w:sz w:val="20"/>
        </w:rPr>
        <w:t>carlylesecuredlending.com</w:t>
      </w:r>
    </w:p>
    <w:p>
      <w:pPr>
        <w:pStyle w:val="TextBody"/>
        <w:bidi w:val="0"/>
        <w:spacing w:lineRule="auto" w:line="288" w:before="240" w:after="240"/>
        <w:jc w:val="left"/>
        <w:rPr/>
      </w:pPr>
      <w:r>
        <w:rPr>
          <w:rFonts w:ascii="Times New Roman;serif" w:hAnsi="Times New Roman;serif"/>
          <w:b/>
          <w:color w:val="000000"/>
          <w:sz w:val="20"/>
        </w:rPr>
        <w:t>About Carlyle</w:t>
      </w:r>
      <w:r>
        <w:rPr>
          <w:color w:val="000000"/>
        </w:rPr>
        <w:t xml:space="preserve"> </w:t>
      </w:r>
    </w:p>
    <w:p>
      <w:pPr>
        <w:pStyle w:val="TextBody"/>
        <w:bidi w:val="0"/>
        <w:spacing w:lineRule="auto" w:line="288" w:before="240" w:after="240"/>
        <w:jc w:val="both"/>
        <w:rPr>
          <w:rFonts w:ascii="Times New Roman;serif" w:hAnsi="Times New Roman;serif"/>
          <w:b w:val="false"/>
          <w:color w:val="000000"/>
          <w:sz w:val="20"/>
        </w:rPr>
      </w:pPr>
      <w:r>
        <w:rPr>
          <w:rFonts w:ascii="Times New Roman;serif" w:hAnsi="Times New Roman;serif"/>
          <w:b w:val="false"/>
          <w:color w:val="000000"/>
          <w:sz w:val="20"/>
        </w:rPr>
        <w:t>Carlyle (“Carlyle,” or the “Adviser”) (NASDAQ: CG) is a global investment firm with deep industry expertise that deploys private capital across three business segments: Global Private Equity, Global Credit and Carlyle AlpInvest. With $475 billion of assets under management as of March 31, 2026, Carlyle’s purpose is to connect people, ideas, and capital to fuel growth for companies and performance for investors. Carlyle employs more than 2,500 people in 28 offices across four continents. Further information is available at www.carlyle.com. Follow Carlyle on X @OneCarlyle and LinkedIn at The Carlyle Group.</w:t>
      </w:r>
    </w:p>
    <w:p>
      <w:pPr>
        <w:pStyle w:val="TextBody"/>
        <w:bidi w:val="0"/>
        <w:spacing w:lineRule="auto" w:line="288" w:before="240" w:after="240"/>
        <w:jc w:val="left"/>
        <w:rPr>
          <w:rFonts w:ascii="Times New Roman;serif" w:hAnsi="Times New Roman;serif"/>
          <w:b/>
          <w:color w:val="000000"/>
          <w:sz w:val="20"/>
        </w:rPr>
      </w:pPr>
      <w:r>
        <w:rPr>
          <w:rFonts w:ascii="Times New Roman;serif" w:hAnsi="Times New Roman;serif"/>
          <w:b/>
          <w:color w:val="000000"/>
          <w:sz w:val="20"/>
        </w:rPr>
        <w:t>Contacts:</w:t>
      </w:r>
    </w:p>
    <w:tbl>
      <w:tblPr>
        <w:tblW w:w="6332" w:type="dxa"/>
        <w:jc w:val="left"/>
        <w:tblInd w:w="0" w:type="dxa"/>
        <w:tblLayout w:type="fixed"/>
        <w:tblCellMar>
          <w:top w:w="28" w:type="dxa"/>
          <w:left w:w="28" w:type="dxa"/>
          <w:bottom w:w="28" w:type="dxa"/>
          <w:right w:w="28" w:type="dxa"/>
        </w:tblCellMar>
      </w:tblPr>
      <w:tblGrid>
        <w:gridCol w:w="1974"/>
        <w:gridCol w:w="876"/>
        <w:gridCol w:w="826"/>
        <w:gridCol w:w="774"/>
        <w:gridCol w:w="774"/>
        <w:gridCol w:w="1108"/>
      </w:tblGrid>
      <w:tr>
        <w:trPr/>
        <w:tc>
          <w:tcPr>
            <w:tcW w:w="1974"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r>
      <w:tr>
        <w:trPr/>
        <w:tc>
          <w:tcPr>
            <w:tcW w:w="3676" w:type="dxa"/>
            <w:gridSpan w:val="3"/>
            <w:tcBorders/>
            <w:tcMar>
              <w:top w:w="0" w:type="dxa"/>
              <w:left w:w="0" w:type="dxa"/>
              <w:bottom w:w="0" w:type="dxa"/>
              <w:right w:w="0" w:type="dxa"/>
            </w:tcMar>
            <w:vAlign w:val="center"/>
          </w:tcPr>
          <w:p>
            <w:pPr>
              <w:pStyle w:val="TableContents"/>
              <w:bidi w:val="0"/>
              <w:spacing w:lineRule="auto" w:line="240" w:before="0" w:after="40"/>
              <w:ind w:left="0" w:right="0" w:hanging="450"/>
              <w:jc w:val="left"/>
              <w:rPr>
                <w:rFonts w:ascii="Times New Roman;serif" w:hAnsi="Times New Roman;serif"/>
                <w:b/>
                <w:color w:val="323232"/>
                <w:sz w:val="20"/>
              </w:rPr>
            </w:pPr>
            <w:r>
              <w:rPr>
                <w:rFonts w:ascii="Times New Roman;serif" w:hAnsi="Times New Roman;serif"/>
                <w:b/>
                <w:color w:val="323232"/>
                <w:sz w:val="20"/>
              </w:rPr>
              <w:t>Investors:</w:t>
            </w:r>
          </w:p>
        </w:tc>
        <w:tc>
          <w:tcPr>
            <w:tcW w:w="2656"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color w:val="323232"/>
                <w:sz w:val="20"/>
              </w:rPr>
            </w:pPr>
            <w:r>
              <w:rPr>
                <w:rFonts w:ascii="Times New Roman;serif" w:hAnsi="Times New Roman;serif"/>
                <w:b/>
                <w:color w:val="323232"/>
                <w:sz w:val="20"/>
              </w:rPr>
              <w:t>Media:</w:t>
            </w:r>
          </w:p>
        </w:tc>
      </w:tr>
      <w:tr>
        <w:trPr/>
        <w:tc>
          <w:tcPr>
            <w:tcW w:w="3676" w:type="dxa"/>
            <w:gridSpan w:val="3"/>
            <w:tcBorders/>
            <w:tcMar>
              <w:top w:w="0" w:type="dxa"/>
              <w:left w:w="0" w:type="dxa"/>
              <w:bottom w:w="0" w:type="dxa"/>
              <w:right w:w="0" w:type="dxa"/>
            </w:tcMar>
            <w:vAlign w:val="center"/>
          </w:tcPr>
          <w:p>
            <w:pPr>
              <w:pStyle w:val="TableContents"/>
              <w:bidi w:val="0"/>
              <w:spacing w:lineRule="auto" w:line="288" w:before="75" w:after="30"/>
              <w:jc w:val="left"/>
              <w:rPr>
                <w:rFonts w:ascii="Times New Roman;serif" w:hAnsi="Times New Roman;serif"/>
                <w:b w:val="false"/>
                <w:color w:val="000000"/>
                <w:sz w:val="20"/>
              </w:rPr>
            </w:pPr>
            <w:r>
              <w:rPr>
                <w:rFonts w:ascii="Times New Roman;serif" w:hAnsi="Times New Roman;serif"/>
                <w:b w:val="false"/>
                <w:color w:val="000000"/>
                <w:sz w:val="20"/>
              </w:rPr>
              <w:t>Nishil Mehta</w:t>
            </w:r>
          </w:p>
        </w:tc>
        <w:tc>
          <w:tcPr>
            <w:tcW w:w="26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Brittany Bensaull</w:t>
            </w:r>
          </w:p>
        </w:tc>
      </w:tr>
      <w:tr>
        <w:trPr/>
        <w:tc>
          <w:tcPr>
            <w:tcW w:w="36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+1-212-813-4918</w:t>
            </w:r>
          </w:p>
        </w:tc>
        <w:tc>
          <w:tcPr>
            <w:tcW w:w="26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+1-212-813-4839</w:t>
            </w:r>
          </w:p>
        </w:tc>
      </w:tr>
      <w:tr>
        <w:trPr/>
        <w:tc>
          <w:tcPr>
            <w:tcW w:w="3676" w:type="dxa"/>
            <w:gridSpan w:val="3"/>
            <w:tcBorders/>
            <w:tcMar>
              <w:top w:w="0" w:type="dxa"/>
              <w:left w:w="0" w:type="dxa"/>
              <w:bottom w:w="0" w:type="dxa"/>
              <w:right w:w="0" w:type="dxa"/>
            </w:tcMar>
            <w:vAlign w:val="center"/>
          </w:tcPr>
          <w:p>
            <w:pPr>
              <w:pStyle w:val="TableContents"/>
              <w:bidi w:val="0"/>
              <w:spacing w:lineRule="auto" w:line="288" w:before="75" w:after="30"/>
              <w:jc w:val="left"/>
              <w:rPr>
                <w:rFonts w:ascii="Times New Roman;serif" w:hAnsi="Times New Roman;serif"/>
                <w:b w:val="false"/>
                <w:color w:val="000000"/>
                <w:sz w:val="20"/>
              </w:rPr>
            </w:pPr>
            <w:r>
              <w:rPr>
                <w:rFonts w:ascii="Times New Roman;serif" w:hAnsi="Times New Roman;serif"/>
                <w:b w:val="false"/>
                <w:color w:val="000000"/>
                <w:sz w:val="20"/>
              </w:rPr>
              <w:t>publicinvestor@carlylesecuredlending.com</w:t>
            </w:r>
          </w:p>
        </w:tc>
        <w:tc>
          <w:tcPr>
            <w:tcW w:w="26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brittany.bensaull@carlyle.com</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808</Words>
  <Characters>4605</Characters>
  <CharactersWithSpaces>5362</CharactersWithSpaces>
  <Paragraphs>104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