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120015</wp:posOffset>
            </wp:positionV>
            <wp:extent cx="2048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190500</wp:posOffset>
            </wp:positionV>
            <wp:extent cx="20485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167640</wp:posOffset>
            </wp:positionV>
            <wp:extent cx="2048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Carlyle Secured Lending,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158750</wp:posOffset>
            </wp:positionV>
            <wp:extent cx="2048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p>
      <w:pPr>
        <w:spacing w:after="0" w:line="200" w:lineRule="exact"/>
        <w:rPr>
          <w:sz w:val="24"/>
          <w:szCs w:val="24"/>
          <w:color w:val="auto"/>
        </w:rPr>
      </w:pPr>
    </w:p>
    <w:p>
      <w:pPr>
        <w:spacing w:after="0" w:line="271"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7"/>
          <w:szCs w:val="17"/>
          <w:b w:val="1"/>
          <w:bCs w:val="1"/>
          <w:color w:val="auto"/>
        </w:rPr>
        <w:t>814-00995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80-0789789</w:t>
      </w:r>
    </w:p>
    <w:p>
      <w:pPr>
        <w:spacing w:after="0" w:line="37" w:lineRule="exact"/>
        <w:rPr>
          <w:sz w:val="24"/>
          <w:szCs w:val="24"/>
          <w:color w:val="auto"/>
        </w:rPr>
      </w:pPr>
    </w:p>
    <w:p>
      <w:pPr>
        <w:sectPr>
          <w:pgSz w:w="11900" w:h="16838" w:orient="portrait"/>
          <w:cols w:equalWidth="0" w:num="3">
            <w:col w:w="4440" w:space="720"/>
            <w:col w:w="2360" w:space="720"/>
            <w:col w:w="3000"/>
          </w:cols>
          <w:pgMar w:left="320" w:top="1186" w:right="339" w:bottom="1440" w:gutter="0" w:footer="0" w:header="0"/>
          <w:type w:val="continuous"/>
        </w:sectPr>
      </w:pPr>
    </w:p>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400" w:space="720"/>
            <w:col w:w="2280" w:space="720"/>
            <w:col w:w="3120"/>
          </w:cols>
          <w:pgMar w:left="320" w:top="1186" w:right="339" w:bottom="1440" w:gutter="0" w:footer="0" w:header="0"/>
          <w:type w:val="continuous"/>
        </w:sectPr>
      </w:pPr>
    </w:p>
    <w:p>
      <w:pPr>
        <w:jc w:val="right"/>
        <w:ind w:right="2580"/>
        <w:spacing w:after="0"/>
        <w:rPr>
          <w:sz w:val="20"/>
          <w:szCs w:val="20"/>
          <w:color w:val="auto"/>
        </w:rPr>
      </w:pPr>
      <w:r>
        <w:rPr>
          <w:rFonts w:ascii="Times New Roman" w:cs="Times New Roman" w:eastAsia="Times New Roman" w:hAnsi="Times New Roman"/>
          <w:sz w:val="17"/>
          <w:szCs w:val="17"/>
          <w:b w:val="1"/>
          <w:bCs w:val="1"/>
          <w:color w:val="auto"/>
        </w:rPr>
        <w:t>One Vanderbilt Avenue, Suite 3400</w:t>
      </w:r>
    </w:p>
    <w:p>
      <w:pPr>
        <w:spacing w:after="0" w:line="43" w:lineRule="exact"/>
        <w:rPr>
          <w:sz w:val="24"/>
          <w:szCs w:val="24"/>
          <w:color w:val="auto"/>
        </w:rPr>
      </w:pPr>
    </w:p>
    <w:p>
      <w:pPr>
        <w:jc w:val="right"/>
        <w:ind w:right="258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10017</w:t>
      </w:r>
    </w:p>
    <w:p>
      <w:pPr>
        <w:spacing w:after="0" w:line="43" w:lineRule="exact"/>
        <w:rPr>
          <w:sz w:val="24"/>
          <w:szCs w:val="24"/>
          <w:color w:val="auto"/>
        </w:rPr>
      </w:pPr>
    </w:p>
    <w:p>
      <w:pPr>
        <w:sectPr>
          <w:pgSz w:w="11900" w:h="16838" w:orient="portrait"/>
          <w:cols w:equalWidth="0" w:num="2">
            <w:col w:w="7740" w:space="720"/>
            <w:col w:w="2780"/>
          </w:cols>
          <w:pgMar w:left="320" w:top="1186" w:right="339" w:bottom="1440" w:gutter="0" w:footer="0" w:header="0"/>
          <w:type w:val="continuous"/>
        </w:sectPr>
      </w:pPr>
    </w:p>
    <w:p>
      <w:pPr>
        <w:ind w:left="2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68" w:lineRule="exact"/>
        <w:rPr>
          <w:sz w:val="24"/>
          <w:szCs w:val="24"/>
          <w:color w:val="auto"/>
        </w:rPr>
      </w:pPr>
    </w:p>
    <w:p>
      <w:pPr>
        <w:sectPr>
          <w:pgSz w:w="11900" w:h="16838" w:orient="portrait"/>
          <w:cols w:equalWidth="0" w:num="2">
            <w:col w:w="7620" w:space="720"/>
            <w:col w:w="2900"/>
          </w:cols>
          <w:pgMar w:left="320" w:top="118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813-4900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240"/>
          </w:cols>
          <w:pgMar w:left="320" w:top="1186" w:right="339" w:bottom="1440" w:gutter="0" w:footer="0" w:header="0"/>
          <w:type w:val="continuous"/>
        </w:sectPr>
      </w:pP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0" w:lineRule="exact"/>
        <w:rPr>
          <w:sz w:val="24"/>
          <w:szCs w:val="24"/>
          <w:color w:val="auto"/>
        </w:rPr>
      </w:pPr>
    </w:p>
    <w:tbl>
      <w:tblPr>
        <w:tblLayout w:type="fixed"/>
        <w:tblInd w:w="30" w:type="dxa"/>
        <w:tblCellMar>
          <w:top w:w="0" w:type="dxa"/>
          <w:left w:w="0" w:type="dxa"/>
          <w:bottom w:w="0" w:type="dxa"/>
          <w:right w:w="0" w:type="dxa"/>
        </w:tblCellMar>
      </w:tblPr>
      <w:tr>
        <w:trPr>
          <w:trHeight w:val="21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CGBD</w:t>
            </w: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81"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ind w:left="52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6"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926465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73660</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99060</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 Submission of Matters to a Vote of Security Holders.</w:t>
      </w:r>
    </w:p>
    <w:p>
      <w:pPr>
        <w:spacing w:after="0" w:line="24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On June 9, 2026, Carlyle Secured Lending, Inc. (the “Company”) held its 2026 Annual Meeting of Stockholders (the “Annual Meeting”). The following proposals were voted on at the Annual Meeting: (1) the election of each of Linda Pace and William H. Wright II, each to serve as a Class I director for a three-year term, in each case until their successor is duly elected and qualified or until their earlier death, resignation or removal, and (2) the ratification of the selection of Ernst &amp; Young LLP (“EY”) as the Company’s independent registered public accounting firm for the fiscal year ending December 31, 2026.</w:t>
      </w:r>
    </w:p>
    <w:p>
      <w:pPr>
        <w:spacing w:after="0" w:line="19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the Annual Meeting, holders of the outstanding shares of the Company’s common stock voted upon the proposals to elect Ms. Pace and Mr. Wright, and to ratify the selection of EY as the Company’s independent registered public accounting firm for the fiscal year ending December 31, 2026.</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April 7, 2026, the record date for the Annual Meeting, there were 70,125,943 shares of common stock of the Company outstanding and entitled to vote. 41,339,639 shares of the common stock of the Company were present or represented at the Annual Meeting, constituting a quorum.</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final voting results for each of the proposals submitted to a vote of stockholders at the Annual Meeting are set forth below. Each proposal was approved by the requisite vote.</w:t>
      </w:r>
    </w:p>
    <w:p>
      <w:pPr>
        <w:spacing w:after="0" w:line="14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The election of each of Linda Pace and William H. Wright II, each to serve as a Class I director for a three-year term, in each case until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is duly elected and qualified or their earlier death, resignation or removal:</w:t>
      </w:r>
    </w:p>
    <w:p>
      <w:pPr>
        <w:spacing w:after="0" w:line="14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28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2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9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Linda Pace</w:t>
            </w:r>
          </w:p>
        </w:tc>
        <w:tc>
          <w:tcPr>
            <w:tcW w:w="2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19,608,442</w:t>
            </w:r>
          </w:p>
        </w:tc>
        <w:tc>
          <w:tcPr>
            <w:tcW w:w="17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1,551,759</w:t>
            </w:r>
          </w:p>
        </w:tc>
        <w:tc>
          <w:tcPr>
            <w:tcW w:w="8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20,179,438</w:t>
            </w:r>
          </w:p>
        </w:tc>
        <w:tc>
          <w:tcPr>
            <w:tcW w:w="68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H. Wright II</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14,713,660</w:t>
            </w:r>
          </w:p>
        </w:tc>
        <w:tc>
          <w:tcPr>
            <w:tcW w:w="1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99"/>
              </w:rPr>
              <w:t>6,446,541</w:t>
            </w:r>
          </w:p>
        </w:tc>
        <w:tc>
          <w:tcPr>
            <w:tcW w:w="820" w:type="dxa"/>
            <w:vAlign w:val="bottom"/>
          </w:tcPr>
          <w:p>
            <w:pPr>
              <w:spacing w:after="0"/>
              <w:rPr>
                <w:sz w:val="20"/>
                <w:szCs w:val="20"/>
                <w:color w:val="auto"/>
              </w:rPr>
            </w:pPr>
          </w:p>
        </w:tc>
        <w:tc>
          <w:tcPr>
            <w:tcW w:w="222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auto"/>
              </w:rPr>
              <w:t>20,179,438</w:t>
            </w:r>
          </w:p>
        </w:tc>
        <w:tc>
          <w:tcPr>
            <w:tcW w:w="680" w:type="dxa"/>
            <w:vAlign w:val="bottom"/>
          </w:tcPr>
          <w:p>
            <w:pPr>
              <w:spacing w:after="0"/>
              <w:rPr>
                <w:sz w:val="20"/>
                <w:szCs w:val="20"/>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 ratification of the selection of EY as the Company’s independent registered public accounting firm for the fiscal year ending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8"/>
                <w:szCs w:val="18"/>
                <w:color w:val="auto"/>
              </w:rPr>
            </w:pPr>
          </w:p>
        </w:tc>
        <w:tc>
          <w:tcPr>
            <w:tcW w:w="2640" w:type="dxa"/>
            <w:vAlign w:val="bottom"/>
            <w:gridSpan w:val="2"/>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2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1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12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3920" w:type="dxa"/>
            <w:vAlign w:val="bottom"/>
            <w:gridSpan w:val="3"/>
            <w:shd w:val="clear" w:color="auto" w:fill="CCEEFF"/>
          </w:tcPr>
          <w:p>
            <w:pPr>
              <w:jc w:val="right"/>
              <w:ind w:right="2100"/>
              <w:spacing w:after="0"/>
              <w:rPr>
                <w:sz w:val="20"/>
                <w:szCs w:val="20"/>
                <w:color w:val="auto"/>
              </w:rPr>
            </w:pPr>
            <w:r>
              <w:rPr>
                <w:rFonts w:ascii="Times New Roman" w:cs="Times New Roman" w:eastAsia="Times New Roman" w:hAnsi="Times New Roman"/>
                <w:sz w:val="18"/>
                <w:szCs w:val="18"/>
                <w:color w:val="auto"/>
              </w:rPr>
              <w:t>40,207,883</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443,413</w:t>
            </w:r>
          </w:p>
        </w:tc>
        <w:tc>
          <w:tcPr>
            <w:tcW w:w="1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5"/>
              </w:rPr>
              <w:t>688,343</w:t>
            </w:r>
          </w:p>
        </w:tc>
        <w:tc>
          <w:tcPr>
            <w:tcW w:w="18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9"/>
              </w:rPr>
              <w:t>—</w:t>
            </w:r>
          </w:p>
        </w:tc>
      </w:tr>
      <w:tr>
        <w:trPr>
          <w:trHeight w:val="979"/>
        </w:trPr>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CARLYLE SECURED LENDING, INC.</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(Registrant)</w:t>
      </w:r>
    </w:p>
    <w:p>
      <w:pPr>
        <w:spacing w:after="0" w:line="180" w:lineRule="exact"/>
        <w:rPr>
          <w:sz w:val="20"/>
          <w:szCs w:val="20"/>
          <w:color w:val="auto"/>
        </w:rPr>
      </w:pPr>
    </w:p>
    <w:p>
      <w:pPr>
        <w:ind w:left="20"/>
        <w:spacing w:after="0"/>
        <w:tabs>
          <w:tab w:leader="none" w:pos="4660" w:val="left"/>
          <w:tab w:leader="none" w:pos="5460" w:val="left"/>
        </w:tabs>
        <w:rPr>
          <w:sz w:val="20"/>
          <w:szCs w:val="20"/>
          <w:color w:val="auto"/>
        </w:rPr>
      </w:pPr>
      <w:r>
        <w:rPr>
          <w:rFonts w:ascii="Times New Roman" w:cs="Times New Roman" w:eastAsia="Times New Roman" w:hAnsi="Times New Roman"/>
          <w:sz w:val="18"/>
          <w:szCs w:val="18"/>
          <w:color w:val="auto"/>
        </w:rPr>
        <w:t>Dated: 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17145</wp:posOffset>
            </wp:positionV>
            <wp:extent cx="2785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Joshua Lefkowitz</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Secretary and Chief Compliance Officer</w:t>
      </w:r>
    </w:p>
    <w:sectPr>
      <w:pgSz w:w="11900" w:h="16838" w:orient="portrait"/>
      <w:cols w:equalWidth="0" w:num="1">
        <w:col w:w="10980"/>
      </w:cols>
      <w:pgMar w:left="320" w:top="98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2026-06-11T15:08:50Z</dcterms:created>
  <dcterms:modified xsi:type="dcterms:W3CDTF">2026-06-11T15:08:50Z</dcterms:modified>
</cp:coreProperties>
</file>