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120015</wp:posOffset>
            </wp:positionV>
            <wp:extent cx="2048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190500</wp:posOffset>
            </wp:positionV>
            <wp:extent cx="2048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167640</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Carlyle Secured Lending,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158750</wp:posOffset>
            </wp:positionV>
            <wp:extent cx="2048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814-00995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80-0789789</w:t>
      </w:r>
    </w:p>
    <w:p>
      <w:pPr>
        <w:spacing w:after="0" w:line="37" w:lineRule="exact"/>
        <w:rPr>
          <w:sz w:val="24"/>
          <w:szCs w:val="24"/>
          <w:color w:val="auto"/>
        </w:rPr>
      </w:pPr>
    </w:p>
    <w:p>
      <w:pPr>
        <w:sectPr>
          <w:pgSz w:w="11900" w:h="16838" w:orient="portrait"/>
          <w:cols w:equalWidth="0" w:num="3">
            <w:col w:w="4440" w:space="720"/>
            <w:col w:w="2360" w:space="720"/>
            <w:col w:w="3000"/>
          </w:cols>
          <w:pgMar w:left="320" w:top="1186" w:right="339" w:bottom="1440" w:gutter="0" w:footer="0" w:header="0"/>
          <w:type w:val="continuous"/>
        </w:sectPr>
      </w:pP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00" w:space="720"/>
            <w:col w:w="2280" w:space="720"/>
            <w:col w:w="3120"/>
          </w:cols>
          <w:pgMar w:left="320" w:top="1186" w:right="339" w:bottom="1440" w:gutter="0" w:footer="0" w:header="0"/>
          <w:type w:val="continuous"/>
        </w:sectPr>
      </w:pPr>
    </w:p>
    <w:p>
      <w:pPr>
        <w:jc w:val="right"/>
        <w:ind w:right="2580"/>
        <w:spacing w:after="0"/>
        <w:rPr>
          <w:sz w:val="20"/>
          <w:szCs w:val="20"/>
          <w:color w:val="auto"/>
        </w:rPr>
      </w:pPr>
      <w:r>
        <w:rPr>
          <w:rFonts w:ascii="Times New Roman" w:cs="Times New Roman" w:eastAsia="Times New Roman" w:hAnsi="Times New Roman"/>
          <w:sz w:val="17"/>
          <w:szCs w:val="17"/>
          <w:b w:val="1"/>
          <w:bCs w:val="1"/>
          <w:color w:val="auto"/>
        </w:rPr>
        <w:t>One Vanderbilt Avenue, Suite 3400</w:t>
      </w:r>
    </w:p>
    <w:p>
      <w:pPr>
        <w:spacing w:after="0" w:line="43" w:lineRule="exact"/>
        <w:rPr>
          <w:sz w:val="24"/>
          <w:szCs w:val="24"/>
          <w:color w:val="auto"/>
        </w:rPr>
      </w:pPr>
    </w:p>
    <w:p>
      <w:pPr>
        <w:jc w:val="right"/>
        <w:ind w:right="25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10017</w:t>
      </w:r>
    </w:p>
    <w:p>
      <w:pPr>
        <w:spacing w:after="0" w:line="43" w:lineRule="exact"/>
        <w:rPr>
          <w:sz w:val="24"/>
          <w:szCs w:val="24"/>
          <w:color w:val="auto"/>
        </w:rPr>
      </w:pPr>
    </w:p>
    <w:p>
      <w:pPr>
        <w:sectPr>
          <w:pgSz w:w="11900" w:h="16838" w:orient="portrait"/>
          <w:cols w:equalWidth="0" w:num="2">
            <w:col w:w="7740" w:space="720"/>
            <w:col w:w="2780"/>
          </w:cols>
          <w:pgMar w:left="320" w:top="1186" w:right="33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68" w:lineRule="exact"/>
        <w:rPr>
          <w:sz w:val="24"/>
          <w:szCs w:val="24"/>
          <w:color w:val="auto"/>
        </w:rPr>
      </w:pPr>
    </w:p>
    <w:p>
      <w:pPr>
        <w:sectPr>
          <w:pgSz w:w="11900" w:h="16838" w:orient="portrait"/>
          <w:cols w:equalWidth="0" w:num="2">
            <w:col w:w="7620" w:space="720"/>
            <w:col w:w="2900"/>
          </w:cols>
          <w:pgMar w:left="320" w:top="118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813-4900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240"/>
          </w:cols>
          <w:pgMar w:left="320" w:top="1186" w:right="339" w:bottom="1440" w:gutter="0" w:footer="0" w:header="0"/>
          <w:type w:val="continuous"/>
        </w:sectPr>
      </w:pP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CGBD</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81"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ind w:left="5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73660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99060</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3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On June 9, 2026, Carlyle Secured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The following proposal was voted on at the Special Meeting: to authorize the Company, with the approval of the Company’s Board of Directors, to sell or otherwise issue shares of the Company’s common stock, during the next 12 months following stockholder approval, at a price below the then-current net asset value per share, subject to certain limitations described in the proxy statement.</w:t>
      </w:r>
    </w:p>
    <w:p>
      <w:pPr>
        <w:spacing w:after="0" w:line="2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Special Meeting, holders of the outstanding shares of the Company’s common stock voted upon the proposal to authorize the Company, with the approval of the Company’s Board of Directors, to sell or otherwise issue shares of the Company’s common stock, during the next 12 months following stockholder approval, at a price below the then-current net asset value per share, subject to certain limitations described in the proxy statement.</w:t>
      </w:r>
    </w:p>
    <w:p>
      <w:pPr>
        <w:spacing w:after="0" w:line="18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April 7, 2026, the record date for the Special Meeting, there were 70,125,943 shares of common stock of the Company outstanding and entitled to vote. 35,809,435 shares of common stock were present or represented at the Special Meeting, constituting a quorum.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final voting results for the proposal submitted to a vote of stockholders at the Special Meeting are set forth below. The proposal was approved by the requisite vote.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authorization of the Company, with the approval of the Company’s Board of Directors, to sell or otherwise issue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during the next 12 months following stockholder approval, at a price below the then-current net asset value per share, subject to certain limitations described in the proxy statement:</w:t>
      </w:r>
    </w:p>
    <w:tbl>
      <w:tblPr>
        <w:tblLayout w:type="fixed"/>
        <w:tblInd w:w="0" w:type="dxa"/>
        <w:tblCellMar>
          <w:top w:w="0" w:type="dxa"/>
          <w:left w:w="0" w:type="dxa"/>
          <w:bottom w:w="0" w:type="dxa"/>
          <w:right w:w="0" w:type="dxa"/>
        </w:tblCellMar>
      </w:tblPr>
      <w:tr>
        <w:trPr>
          <w:trHeight w:val="198"/>
        </w:trPr>
        <w:tc>
          <w:tcPr>
            <w:tcW w:w="1280" w:type="dxa"/>
            <w:vAlign w:val="bottom"/>
          </w:tcPr>
          <w:p>
            <w:pPr>
              <w:spacing w:after="0"/>
              <w:rPr>
                <w:sz w:val="17"/>
                <w:szCs w:val="17"/>
                <w:color w:val="auto"/>
              </w:rPr>
            </w:pPr>
          </w:p>
        </w:tc>
        <w:tc>
          <w:tcPr>
            <w:tcW w:w="1560" w:type="dxa"/>
            <w:vAlign w:val="bottom"/>
            <w:gridSpan w:val="2"/>
          </w:tcPr>
          <w:p>
            <w:pPr>
              <w:jc w:val="center"/>
              <w:ind w:right="1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tcPr>
          <w:p>
            <w:pPr>
              <w:spacing w:after="0"/>
              <w:rPr>
                <w:sz w:val="17"/>
                <w:szCs w:val="17"/>
                <w:color w:val="auto"/>
              </w:rPr>
            </w:pPr>
          </w:p>
        </w:tc>
        <w:tc>
          <w:tcPr>
            <w:tcW w:w="1700" w:type="dxa"/>
            <w:vAlign w:val="bottom"/>
            <w:gridSpan w:val="2"/>
          </w:tcPr>
          <w:p>
            <w:pPr>
              <w:jc w:val="center"/>
              <w:ind w:right="1100"/>
              <w:spacing w:after="0" w:line="198" w:lineRule="exact"/>
              <w:rPr>
                <w:sz w:val="20"/>
                <w:szCs w:val="20"/>
                <w:color w:val="auto"/>
              </w:rPr>
            </w:pPr>
            <w:r>
              <w:rPr>
                <w:rFonts w:ascii="Times New Roman" w:cs="Times New Roman" w:eastAsia="Times New Roman" w:hAnsi="Times New Roman"/>
                <w:sz w:val="18"/>
                <w:szCs w:val="18"/>
                <w:b w:val="1"/>
                <w:bCs w:val="1"/>
                <w:color w:val="auto"/>
              </w:rPr>
              <w:t>Against</w:t>
            </w:r>
          </w:p>
        </w:tc>
        <w:tc>
          <w:tcPr>
            <w:tcW w:w="3520" w:type="dxa"/>
            <w:vAlign w:val="bottom"/>
            <w:gridSpan w:val="3"/>
          </w:tcPr>
          <w:p>
            <w:pPr>
              <w:jc w:val="center"/>
              <w:ind w:right="7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gridSpan w:val="2"/>
          </w:tcPr>
          <w:p>
            <w:pPr>
              <w:jc w:val="center"/>
              <w:ind w:right="7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8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26,328,719</w:t>
            </w:r>
          </w:p>
        </w:tc>
        <w:tc>
          <w:tcPr>
            <w:tcW w:w="278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7,457,315</w:t>
            </w:r>
          </w:p>
        </w:tc>
        <w:tc>
          <w:tcPr>
            <w:tcW w:w="3520" w:type="dxa"/>
            <w:vAlign w:val="bottom"/>
            <w:gridSpan w:val="3"/>
            <w:shd w:val="clear" w:color="auto" w:fill="CCEEFF"/>
          </w:tcPr>
          <w:p>
            <w:pPr>
              <w:jc w:val="right"/>
              <w:ind w:right="1760"/>
              <w:spacing w:after="0"/>
              <w:rPr>
                <w:sz w:val="20"/>
                <w:szCs w:val="20"/>
                <w:color w:val="auto"/>
              </w:rPr>
            </w:pPr>
            <w:r>
              <w:rPr>
                <w:rFonts w:ascii="Times New Roman" w:cs="Times New Roman" w:eastAsia="Times New Roman" w:hAnsi="Times New Roman"/>
                <w:sz w:val="18"/>
                <w:szCs w:val="18"/>
                <w:color w:val="auto"/>
              </w:rPr>
              <w:t>2,023,401</w:t>
            </w:r>
          </w:p>
        </w:tc>
        <w:tc>
          <w:tcPr>
            <w:tcW w:w="210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r>
      <w:tr>
        <w:trPr>
          <w:trHeight w:val="979"/>
        </w:trPr>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CARLYLE SECURED LENDING, INC.</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20"/>
        <w:spacing w:after="0"/>
        <w:tabs>
          <w:tab w:leader="none" w:pos="4660" w:val="left"/>
          <w:tab w:leader="none" w:pos="5460" w:val="left"/>
        </w:tabs>
        <w:rPr>
          <w:sz w:val="20"/>
          <w:szCs w:val="20"/>
          <w:color w:val="auto"/>
        </w:rPr>
      </w:pPr>
      <w:r>
        <w:rPr>
          <w:rFonts w:ascii="Times New Roman" w:cs="Times New Roman" w:eastAsia="Times New Roman" w:hAnsi="Times New Roman"/>
          <w:sz w:val="18"/>
          <w:szCs w:val="18"/>
          <w:color w:val="auto"/>
        </w:rPr>
        <w:t>Dated: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785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Joshua Lefkowitz</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Secretary and Chief Compliance Officer</w:t>
      </w:r>
    </w:p>
    <w:sectPr>
      <w:pgSz w:w="11900" w:h="16838" w:orient="portrait"/>
      <w:cols w:equalWidth="0" w:num="1">
        <w:col w:w="10980"/>
      </w:cols>
      <w:pgMar w:left="320" w:top="98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2026-06-11T15:16:08Z</dcterms:created>
  <dcterms:modified xsi:type="dcterms:W3CDTF">2026-06-11T15:16:08Z</dcterms:modified>
</cp:coreProperties>
</file>