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16,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48"/>
        </w:rPr>
      </w:pPr>
      <w:r>
        <w:rPr>
          <w:rFonts w:ascii="Times New Roman;serif" w:hAnsi="Times New Roman;serif"/>
          <w:b/>
          <w:color w:val="000000"/>
          <w:sz w:val="48"/>
        </w:rPr>
        <w:t xml:space="preserve">Carlyle Secured Lending,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73" w:type="dxa"/>
        <w:jc w:val="center"/>
        <w:tblInd w:w="0" w:type="dxa"/>
        <w:tblLayout w:type="fixed"/>
        <w:tblCellMar>
          <w:top w:w="28" w:type="dxa"/>
          <w:left w:w="28" w:type="dxa"/>
          <w:bottom w:w="28" w:type="dxa"/>
          <w:right w:w="28" w:type="dxa"/>
        </w:tblCellMar>
      </w:tblPr>
      <w:tblGrid>
        <w:gridCol w:w="774"/>
        <w:gridCol w:w="682"/>
        <w:gridCol w:w="688"/>
        <w:gridCol w:w="109"/>
        <w:gridCol w:w="109"/>
        <w:gridCol w:w="109"/>
        <w:gridCol w:w="353"/>
        <w:gridCol w:w="353"/>
        <w:gridCol w:w="358"/>
        <w:gridCol w:w="109"/>
        <w:gridCol w:w="109"/>
        <w:gridCol w:w="109"/>
        <w:gridCol w:w="109"/>
        <w:gridCol w:w="109"/>
        <w:gridCol w:w="109"/>
        <w:gridCol w:w="433"/>
        <w:gridCol w:w="433"/>
        <w:gridCol w:w="618"/>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814-00995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80-0789789</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5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Vanderbilt Avenue, Suite 3400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New York</w:t>
            </w:r>
          </w:p>
        </w:tc>
        <w:tc>
          <w:tcPr>
            <w:tcW w:w="13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3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(212) 813-4900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162" w:type="dxa"/>
        <w:jc w:val="center"/>
        <w:tblInd w:w="0" w:type="dxa"/>
        <w:tblLayout w:type="fixed"/>
        <w:tblCellMar>
          <w:top w:w="28" w:type="dxa"/>
          <w:left w:w="28" w:type="dxa"/>
          <w:bottom w:w="28" w:type="dxa"/>
          <w:right w:w="28" w:type="dxa"/>
        </w:tblCellMar>
      </w:tblPr>
      <w:tblGrid>
        <w:gridCol w:w="504"/>
        <w:gridCol w:w="442"/>
        <w:gridCol w:w="448"/>
        <w:gridCol w:w="484"/>
        <w:gridCol w:w="484"/>
        <w:gridCol w:w="486"/>
        <w:gridCol w:w="970"/>
        <w:gridCol w:w="970"/>
        <w:gridCol w:w="137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CGBD</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283"/>
        <w:jc w:val="left"/>
        <w:rPr/>
      </w:pPr>
      <w:r>
        <w:rPr>
          <w:color w:val="000000"/>
        </w:rPr>
        <w:t>    </w:t>
      </w: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10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7.01 – Regulation FD Disclosure</w:t>
      </w:r>
    </w:p>
    <w:p>
      <w:pPr>
        <w:pStyle w:val="TextBody"/>
        <w:bidi w:val="0"/>
        <w:spacing w:lineRule="auto" w:line="288" w:before="119" w:after="283"/>
        <w:jc w:val="left"/>
        <w:rPr>
          <w:rFonts w:ascii="Times New Roman;serif" w:hAnsi="Times New Roman;serif"/>
          <w:b w:val="false"/>
          <w:color w:val="000000"/>
          <w:sz w:val="20"/>
        </w:rPr>
      </w:pPr>
      <w:r>
        <w:rPr>
          <w:rFonts w:ascii="Times New Roman;serif" w:hAnsi="Times New Roman;serif"/>
          <w:b w:val="false"/>
          <w:color w:val="000000"/>
          <w:sz w:val="20"/>
        </w:rPr>
        <w:t>On October 16, 2026, Carlyle Secured Lending, Inc. (the “Company”) issued a press release announcing that it will host a conference call at 11:00 a.m. (Eastern Time) on Friday, November 6, 2026 to announce its financial results for the third quarter ended September 30, 2026. A copy of the press release is attached hereto as Exhibit 99.1.</w:t>
      </w:r>
    </w:p>
    <w:p>
      <w:pPr>
        <w:pStyle w:val="TextBody"/>
        <w:bidi w:val="0"/>
        <w:spacing w:lineRule="auto" w:line="288" w:before="119" w:after="283"/>
        <w:jc w:val="left"/>
        <w:rPr>
          <w:rFonts w:ascii="Times New Roman;serif" w:hAnsi="Times New Roman;serif"/>
          <w:b w:val="false"/>
          <w:color w:val="000000"/>
          <w:sz w:val="20"/>
        </w:rPr>
      </w:pPr>
      <w:r>
        <w:rPr>
          <w:rFonts w:ascii="Times New Roman;serif" w:hAnsi="Times New Roman;serif"/>
          <w:b w:val="false"/>
          <w:color w:val="000000"/>
          <w:sz w:val="20"/>
        </w:rPr>
        <w:t>The information disclosed under this Item 7.01, including Exhibit 99.1 hereto, is being furnished and shall not be deemed “filed” for purposes of Section 18 of Securities Exchange Act of 1934, and shall not be deemed incorporated by reference into any filing made under the Securities Act 1933, except as expressly set forth by specific reference in such filing.</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8457" w:type="dxa"/>
        <w:jc w:val="left"/>
        <w:tblInd w:w="0" w:type="dxa"/>
        <w:tblLayout w:type="fixed"/>
        <w:tblCellMar>
          <w:top w:w="28" w:type="dxa"/>
          <w:left w:w="28" w:type="dxa"/>
          <w:bottom w:w="28" w:type="dxa"/>
          <w:right w:w="28" w:type="dxa"/>
        </w:tblCellMar>
      </w:tblPr>
      <w:tblGrid>
        <w:gridCol w:w="538"/>
        <w:gridCol w:w="473"/>
        <w:gridCol w:w="475"/>
        <w:gridCol w:w="109"/>
        <w:gridCol w:w="109"/>
        <w:gridCol w:w="109"/>
        <w:gridCol w:w="1941"/>
        <w:gridCol w:w="1941"/>
        <w:gridCol w:w="2762"/>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gbd_2026930xxex991earning.htm">
              <w:r>
                <w:rPr>
                  <w:rStyle w:val="InternetLink"/>
                  <w:rFonts w:ascii="Times New Roman;serif" w:hAnsi="Times New Roman;serif"/>
                  <w:b w:val="false"/>
                  <w:color w:val="000080"/>
                  <w:sz w:val="20"/>
                  <w:u w:val="single"/>
                </w:rPr>
                <w:t xml:space="preserve">Press Release, dated </w:t>
              </w:r>
            </w:hyperlink>
            <w:hyperlink w:anchor="cgbd_2026930xxex991earning.htm">
              <w:r>
                <w:rPr>
                  <w:rStyle w:val="InternetLink"/>
                  <w:rFonts w:ascii="Times New Roman;serif" w:hAnsi="Times New Roman;serif"/>
                  <w:b w:val="false"/>
                  <w:color w:val="000080"/>
                  <w:sz w:val="20"/>
                  <w:u w:val="single"/>
                </w:rPr>
                <w:t xml:space="preserve">October </w:t>
              </w:r>
            </w:hyperlink>
            <w:hyperlink w:anchor="cgbd_2026930xxex991earning.htm">
              <w:r>
                <w:rPr>
                  <w:rStyle w:val="InternetLink"/>
                  <w:rFonts w:ascii="Times New Roman;serif" w:hAnsi="Times New Roman;serif"/>
                  <w:b w:val="false"/>
                  <w:color w:val="000080"/>
                  <w:sz w:val="20"/>
                  <w:u w:val="single"/>
                </w:rPr>
                <w:t>1</w:t>
              </w:r>
            </w:hyperlink>
            <w:hyperlink w:anchor="cgbd_2026930xxex991earning.htm">
              <w:r>
                <w:rPr>
                  <w:rStyle w:val="InternetLink"/>
                  <w:rFonts w:ascii="Times New Roman;serif" w:hAnsi="Times New Roman;serif"/>
                  <w:b w:val="false"/>
                  <w:color w:val="000080"/>
                  <w:sz w:val="20"/>
                  <w:u w:val="single"/>
                </w:rPr>
                <w:t>6</w:t>
              </w:r>
            </w:hyperlink>
            <w:hyperlink w:anchor="cgbd_2026930xxex991earning.htm">
              <w:r>
                <w:rPr>
                  <w:rStyle w:val="InternetLink"/>
                  <w:rFonts w:ascii="Times New Roman;serif" w:hAnsi="Times New Roman;serif"/>
                  <w:b w:val="false"/>
                  <w:color w:val="000080"/>
                  <w:sz w:val="20"/>
                  <w:u w:val="single"/>
                </w:rPr>
                <w:t>, 2026</w:t>
              </w:r>
            </w:hyperlink>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502" w:type="dxa"/>
        <w:jc w:val="left"/>
        <w:tblInd w:w="0" w:type="dxa"/>
        <w:tblLayout w:type="fixed"/>
        <w:tblCellMar>
          <w:top w:w="28" w:type="dxa"/>
          <w:left w:w="28" w:type="dxa"/>
          <w:bottom w:w="28" w:type="dxa"/>
          <w:right w:w="28" w:type="dxa"/>
        </w:tblCellMar>
      </w:tblPr>
      <w:tblGrid>
        <w:gridCol w:w="765"/>
        <w:gridCol w:w="672"/>
        <w:gridCol w:w="678"/>
        <w:gridCol w:w="109"/>
        <w:gridCol w:w="109"/>
        <w:gridCol w:w="109"/>
        <w:gridCol w:w="134"/>
        <w:gridCol w:w="134"/>
        <w:gridCol w:w="136"/>
        <w:gridCol w:w="109"/>
        <w:gridCol w:w="109"/>
        <w:gridCol w:w="109"/>
        <w:gridCol w:w="972"/>
        <w:gridCol w:w="972"/>
        <w:gridCol w:w="1385"/>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CARLYLE SECURED LENDING, INC.</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M. Hennigan</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Thomas M. Hennigan</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1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4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40" w:after="240"/>
        <w:jc w:val="center"/>
        <w:rPr/>
      </w:pPr>
      <w:r>
        <w:rPr/>
        <w:drawing>
          <wp:inline distT="0" distB="0" distL="0" distR="0">
            <wp:extent cx="2857500" cy="7524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752475"/>
                    </a:xfrm>
                    <a:prstGeom prst="rect">
                      <a:avLst/>
                    </a:prstGeom>
                  </pic:spPr>
                </pic:pic>
              </a:graphicData>
            </a:graphic>
          </wp:inline>
        </w:drawing>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For Immediate Release</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 xml:space="preserve">October 16, 2026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Carlyle Secured Lending, Inc. Schedules Earnings Release and Quarterly Earnings Call to Discuss its Financial Results for the Third Quarter Ended September 30, 2026</w:t>
      </w:r>
    </w:p>
    <w:p>
      <w:pPr>
        <w:pStyle w:val="TextBody"/>
        <w:bidi w:val="0"/>
        <w:spacing w:lineRule="auto" w:line="288" w:before="240" w:after="240"/>
        <w:jc w:val="both"/>
        <w:rPr/>
      </w:pPr>
      <w:r>
        <w:rPr>
          <w:rFonts w:ascii="Times New Roman;serif" w:hAnsi="Times New Roman;serif"/>
          <w:b/>
          <w:color w:val="000000"/>
          <w:sz w:val="20"/>
        </w:rPr>
        <w:t>New York</w:t>
      </w:r>
      <w:r>
        <w:rPr>
          <w:color w:val="000000"/>
        </w:rPr>
        <w:t xml:space="preserve"> – </w:t>
      </w:r>
      <w:r>
        <w:rPr>
          <w:rFonts w:ascii="Times New Roman;serif" w:hAnsi="Times New Roman;serif"/>
          <w:b w:val="false"/>
          <w:color w:val="000000"/>
          <w:sz w:val="20"/>
        </w:rPr>
        <w:t xml:space="preserve">Carlyle Secured Lending, Inc. (“Carlyle Secured Lending”) (NASDAQ: CGBD) will host a conference call at 11:00 a.m. (Eastern Time) on Friday, November 6, 2026 to announce its financial results for the third quarter ended September 30, 2026. The Company will report its quarterly financial results on Thursday, November 5, 2026.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conference call will be available via public webcast via a link on Carlyle Secured Lending’s website at carlylesecuredlending.com and will also be available on the website soon after the call’s completion.</w:t>
      </w:r>
    </w:p>
    <w:p>
      <w:pPr>
        <w:pStyle w:val="TextBody"/>
        <w:bidi w:val="0"/>
        <w:spacing w:lineRule="auto" w:line="288" w:before="240" w:after="240"/>
        <w:jc w:val="left"/>
        <w:rPr/>
      </w:pPr>
      <w:r>
        <w:rPr>
          <w:rFonts w:ascii="Times New Roman;serif" w:hAnsi="Times New Roman;serif"/>
          <w:b/>
          <w:color w:val="000000"/>
          <w:sz w:val="20"/>
        </w:rPr>
        <w:t>About Carlyle Secured Lending, Inc.</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Carlyle Secured Lending, Inc. is a publicly traded (NASDAQ: CGBD) business development company (“BDC”) which began investing in 2013. The Company focuses on providing directly originated, financing solutions across the capital structure, with a focus on senior secured lending to middle-market companies primarily located in the United States. Carlyle Secured Lending is externally managed by Carlyle Global Credit Investment Management L.L.C., an SEC-registered investment adviser and wholly owned subsidiary of Carlyle.</w:t>
      </w:r>
    </w:p>
    <w:p>
      <w:pPr>
        <w:pStyle w:val="TextBody"/>
        <w:bidi w:val="0"/>
        <w:spacing w:lineRule="auto" w:line="288" w:before="240" w:after="240"/>
        <w:jc w:val="left"/>
        <w:rPr/>
      </w:pPr>
      <w:r>
        <w:rPr>
          <w:rFonts w:ascii="Times New Roman;serif" w:hAnsi="Times New Roman;serif"/>
          <w:b/>
          <w:color w:val="000000"/>
          <w:sz w:val="20"/>
        </w:rPr>
        <w:t xml:space="preserve">Web: </w:t>
      </w:r>
      <w:r>
        <w:rPr>
          <w:rFonts w:ascii="Times New Roman;serif" w:hAnsi="Times New Roman;serif"/>
          <w:b w:val="false"/>
          <w:color w:val="0069AE"/>
          <w:sz w:val="20"/>
        </w:rPr>
        <w:t>carlylesecuredlending.com</w:t>
      </w:r>
    </w:p>
    <w:p>
      <w:pPr>
        <w:pStyle w:val="TextBody"/>
        <w:bidi w:val="0"/>
        <w:spacing w:lineRule="auto" w:line="288" w:before="240" w:after="240"/>
        <w:jc w:val="left"/>
        <w:rPr/>
      </w:pPr>
      <w:r>
        <w:rPr>
          <w:rFonts w:ascii="Times New Roman;serif" w:hAnsi="Times New Roman;serif"/>
          <w:b/>
          <w:color w:val="000000"/>
          <w:sz w:val="20"/>
        </w:rPr>
        <w:t>About Carlyle</w:t>
      </w:r>
      <w:r>
        <w:rPr>
          <w:color w:val="000000"/>
        </w:rPr>
        <w:t xml:space="preserve">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Carlyle (“Carlyle,” or the “Adviser”) (NASDAQ: CG) is a global investment firm with deep industry expertise that deploys private capital across three business segments: Global Private Equity, Global Credit and Carlyle AlpInvest. With $485 billion of assets under management as of June 30, 2026, Carlyle’s purpose is to connect people, ideas, and capital to fuel growth for companies and performance for investors. Carlyle employs more than 2,500 people in 28 offices across four continents. Further information is available at www.carlyle.com. Follow Carlyle on X @OneCarlyle and LinkedIn at The Carlyle Group.</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Contacts:</w:t>
      </w:r>
    </w:p>
    <w:tbl>
      <w:tblPr>
        <w:tblW w:w="6332" w:type="dxa"/>
        <w:jc w:val="left"/>
        <w:tblInd w:w="0" w:type="dxa"/>
        <w:tblLayout w:type="fixed"/>
        <w:tblCellMar>
          <w:top w:w="28" w:type="dxa"/>
          <w:left w:w="28" w:type="dxa"/>
          <w:bottom w:w="28" w:type="dxa"/>
          <w:right w:w="28" w:type="dxa"/>
        </w:tblCellMar>
      </w:tblPr>
      <w:tblGrid>
        <w:gridCol w:w="1974"/>
        <w:gridCol w:w="876"/>
        <w:gridCol w:w="826"/>
        <w:gridCol w:w="774"/>
        <w:gridCol w:w="774"/>
        <w:gridCol w:w="1108"/>
      </w:tblGrid>
      <w:tr>
        <w:trPr/>
        <w:tc>
          <w:tcPr>
            <w:tcW w:w="19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40"/>
              <w:ind w:left="0" w:right="0" w:hanging="450"/>
              <w:jc w:val="left"/>
              <w:rPr>
                <w:rFonts w:ascii="Times New Roman;serif" w:hAnsi="Times New Roman;serif"/>
                <w:b/>
                <w:color w:val="323232"/>
                <w:sz w:val="20"/>
              </w:rPr>
            </w:pPr>
            <w:r>
              <w:rPr>
                <w:rFonts w:ascii="Times New Roman;serif" w:hAnsi="Times New Roman;serif"/>
                <w:b/>
                <w:color w:val="323232"/>
                <w:sz w:val="20"/>
              </w:rPr>
              <w:t>Investors:</w:t>
            </w:r>
          </w:p>
        </w:tc>
        <w:tc>
          <w:tcPr>
            <w:tcW w:w="265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323232"/>
                <w:sz w:val="20"/>
              </w:rPr>
            </w:pPr>
            <w:r>
              <w:rPr>
                <w:rFonts w:ascii="Times New Roman;serif" w:hAnsi="Times New Roman;serif"/>
                <w:b/>
                <w:color w:val="323232"/>
                <w:sz w:val="20"/>
              </w:rPr>
              <w:t>Media:</w:t>
            </w:r>
          </w:p>
        </w:tc>
      </w:tr>
      <w:tr>
        <w:trPr/>
        <w:tc>
          <w:tcPr>
            <w:tcW w:w="3676" w:type="dxa"/>
            <w:gridSpan w:val="3"/>
            <w:tcBorders/>
            <w:tcMar>
              <w:top w:w="0" w:type="dxa"/>
              <w:left w:w="0" w:type="dxa"/>
              <w:bottom w:w="0" w:type="dxa"/>
              <w:right w:w="0" w:type="dxa"/>
            </w:tcMar>
            <w:vAlign w:val="center"/>
          </w:tcPr>
          <w:p>
            <w:pPr>
              <w:pStyle w:val="TableContents"/>
              <w:bidi w:val="0"/>
              <w:spacing w:lineRule="auto" w:line="288" w:before="75" w:after="30"/>
              <w:jc w:val="left"/>
              <w:rPr>
                <w:rFonts w:ascii="Times New Roman;serif" w:hAnsi="Times New Roman;serif"/>
                <w:b w:val="false"/>
                <w:color w:val="000000"/>
                <w:sz w:val="20"/>
              </w:rPr>
            </w:pPr>
            <w:r>
              <w:rPr>
                <w:rFonts w:ascii="Times New Roman;serif" w:hAnsi="Times New Roman;serif"/>
                <w:b w:val="false"/>
                <w:color w:val="000000"/>
                <w:sz w:val="20"/>
              </w:rPr>
              <w:t>Nishil Mehta</w:t>
            </w:r>
          </w:p>
        </w:tc>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Brittany Bensaull</w:t>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+1-212-813-4918</w:t>
            </w:r>
          </w:p>
        </w:tc>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+1-212-813-4839</w:t>
            </w:r>
          </w:p>
        </w:tc>
      </w:tr>
      <w:tr>
        <w:trPr/>
        <w:tc>
          <w:tcPr>
            <w:tcW w:w="3676" w:type="dxa"/>
            <w:gridSpan w:val="3"/>
            <w:tcBorders/>
            <w:tcMar>
              <w:top w:w="0" w:type="dxa"/>
              <w:left w:w="0" w:type="dxa"/>
              <w:bottom w:w="0" w:type="dxa"/>
              <w:right w:w="0" w:type="dxa"/>
            </w:tcMar>
            <w:vAlign w:val="center"/>
          </w:tcPr>
          <w:p>
            <w:pPr>
              <w:pStyle w:val="TableContents"/>
              <w:bidi w:val="0"/>
              <w:spacing w:lineRule="auto" w:line="288" w:before="75" w:after="30"/>
              <w:jc w:val="left"/>
              <w:rPr>
                <w:rFonts w:ascii="Times New Roman;serif" w:hAnsi="Times New Roman;serif"/>
                <w:b w:val="false"/>
                <w:color w:val="000000"/>
                <w:sz w:val="20"/>
              </w:rPr>
            </w:pPr>
            <w:r>
              <w:rPr>
                <w:rFonts w:ascii="Times New Roman;serif" w:hAnsi="Times New Roman;serif"/>
                <w:b w:val="false"/>
                <w:color w:val="000000"/>
                <w:sz w:val="20"/>
              </w:rPr>
              <w:t>publicinvestor@carlylesecuredlending.com</w:t>
            </w:r>
          </w:p>
        </w:tc>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brittany.bensaull@carlyle.com</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808</Words>
  <Characters>4637</Characters>
  <CharactersWithSpaces>5378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