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Carlyle Secured Lending, Inc.</w:t>
      </w:r>
    </w:p>
    <w:p>
      <w:pPr>
        <w:ind w:left="20"/>
        <w:spacing w:after="0" w:line="208" w:lineRule="auto"/>
        <w:rPr>
          <w:sz w:val="20"/>
          <w:szCs w:val="20"/>
          <w:color w:val="auto"/>
        </w:rPr>
      </w:pPr>
      <w:r>
        <w:rPr>
          <w:rFonts w:ascii="Times New Roman" w:cs="Times New Roman" w:eastAsia="Times New Roman" w:hAnsi="Times New Roman"/>
          <w:sz w:val="17"/>
          <w:szCs w:val="17"/>
          <w:color w:val="auto"/>
        </w:rPr>
        <w:t>Carlyle Credit Solutions, Inc.</w:t>
      </w:r>
    </w:p>
    <w:p>
      <w:pPr>
        <w:ind w:left="20"/>
        <w:spacing w:after="0" w:line="208" w:lineRule="auto"/>
        <w:rPr>
          <w:sz w:val="20"/>
          <w:szCs w:val="20"/>
          <w:color w:val="auto"/>
        </w:rPr>
      </w:pPr>
      <w:r>
        <w:rPr>
          <w:rFonts w:ascii="Times New Roman" w:cs="Times New Roman" w:eastAsia="Times New Roman" w:hAnsi="Times New Roman"/>
          <w:sz w:val="17"/>
          <w:szCs w:val="17"/>
          <w:color w:val="auto"/>
        </w:rPr>
        <w:t>One Vanderbilt Avenue, Suite 3400</w:t>
      </w:r>
    </w:p>
    <w:p>
      <w:pPr>
        <w:spacing w:after="0" w:line="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New York, New York 10017</w:t>
      </w:r>
    </w:p>
    <w:p>
      <w:pPr>
        <w:spacing w:after="0" w:line="3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June 2, 2026</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Via EDGAR</w:t>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08" w:lineRule="auto"/>
        <w:rPr>
          <w:sz w:val="20"/>
          <w:szCs w:val="20"/>
          <w:color w:val="auto"/>
        </w:rPr>
      </w:pPr>
      <w:r>
        <w:rPr>
          <w:rFonts w:ascii="Times New Roman" w:cs="Times New Roman" w:eastAsia="Times New Roman" w:hAnsi="Times New Roman"/>
          <w:sz w:val="17"/>
          <w:szCs w:val="17"/>
          <w:color w:val="auto"/>
        </w:rPr>
        <w:t>100 F Street, N.E.</w:t>
      </w:r>
    </w:p>
    <w:p>
      <w:pPr>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Joshua Lefkowitz</w:t>
      </w:r>
    </w:p>
    <w:p>
      <w:pPr>
        <w:spacing w:after="0" w:line="205" w:lineRule="auto"/>
        <w:rPr>
          <w:sz w:val="20"/>
          <w:szCs w:val="20"/>
          <w:color w:val="auto"/>
        </w:rPr>
      </w:pPr>
      <w:r>
        <w:rPr>
          <w:rFonts w:ascii="Times New Roman" w:cs="Times New Roman" w:eastAsia="Times New Roman" w:hAnsi="Times New Roman"/>
          <w:sz w:val="14"/>
          <w:szCs w:val="14"/>
          <w:color w:val="auto"/>
        </w:rPr>
        <w:t>Secretary &amp; Chief Compliance Officer</w:t>
      </w:r>
    </w:p>
    <w:p>
      <w:pPr>
        <w:spacing w:after="0"/>
        <w:rPr>
          <w:sz w:val="20"/>
          <w:szCs w:val="20"/>
          <w:color w:val="auto"/>
        </w:rPr>
      </w:pPr>
      <w:r>
        <w:rPr>
          <w:rFonts w:ascii="Times New Roman" w:cs="Times New Roman" w:eastAsia="Times New Roman" w:hAnsi="Times New Roman"/>
          <w:sz w:val="14"/>
          <w:szCs w:val="14"/>
          <w:color w:val="auto"/>
        </w:rPr>
        <w:t>212-813-4900</w:t>
      </w:r>
    </w:p>
    <w:p>
      <w:pPr>
        <w:spacing w:after="0" w:line="1803" w:lineRule="exact"/>
        <w:rPr>
          <w:sz w:val="24"/>
          <w:szCs w:val="24"/>
          <w:color w:val="auto"/>
        </w:rPr>
      </w:pPr>
    </w:p>
    <w:p>
      <w:pPr>
        <w:sectPr>
          <w:pgSz w:w="11900" w:h="16838" w:orient="portrait"/>
          <w:cols w:equalWidth="0" w:num="2">
            <w:col w:w="5460" w:space="720"/>
            <w:col w:w="5020"/>
          </w:cols>
          <w:pgMar w:left="300" w:top="1440" w:right="399" w:bottom="1440" w:gutter="0" w:footer="0" w:header="0"/>
        </w:sectPr>
      </w:pPr>
    </w:p>
    <w:p>
      <w:pPr>
        <w:ind w:left="20"/>
        <w:spacing w:after="0"/>
        <w:tabs>
          <w:tab w:leader="none" w:pos="800" w:val="left"/>
        </w:tabs>
        <w:rPr>
          <w:sz w:val="20"/>
          <w:szCs w:val="20"/>
          <w:color w:val="auto"/>
        </w:rPr>
      </w:pPr>
      <w:r>
        <w:rPr>
          <w:rFonts w:ascii="Times New Roman" w:cs="Times New Roman" w:eastAsia="Times New Roman" w:hAnsi="Times New Roman"/>
          <w:sz w:val="17"/>
          <w:szCs w:val="17"/>
          <w:color w:val="auto"/>
        </w:rPr>
        <w:t>RE:</w:t>
      </w:r>
      <w:r>
        <w:rPr>
          <w:sz w:val="20"/>
          <w:szCs w:val="20"/>
          <w:color w:val="auto"/>
        </w:rPr>
        <w:tab/>
      </w:r>
      <w:r>
        <w:rPr>
          <w:rFonts w:ascii="Times New Roman" w:cs="Times New Roman" w:eastAsia="Times New Roman" w:hAnsi="Times New Roman"/>
          <w:sz w:val="17"/>
          <w:szCs w:val="17"/>
          <w:color w:val="auto"/>
        </w:rPr>
        <w:t>Rule 17g-1 Fidelity Bond Filing Information with Respect to the Period Covering April 12, 2026 through April 12, 2027 for Carlyle Secured Lending,</w:t>
      </w:r>
    </w:p>
    <w:p>
      <w:pPr>
        <w:ind w:left="820"/>
        <w:spacing w:after="0"/>
        <w:rPr>
          <w:sz w:val="20"/>
          <w:szCs w:val="20"/>
          <w:color w:val="auto"/>
        </w:rPr>
      </w:pPr>
      <w:r>
        <w:rPr>
          <w:rFonts w:ascii="Times New Roman" w:cs="Times New Roman" w:eastAsia="Times New Roman" w:hAnsi="Times New Roman"/>
          <w:sz w:val="17"/>
          <w:szCs w:val="17"/>
          <w:color w:val="auto"/>
        </w:rPr>
        <w:t>Inc. (814-00995) and Carlyle Credit Solutions, Inc. (814-01248)</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Dear Sir or Madam:</w:t>
      </w:r>
    </w:p>
    <w:p>
      <w:pPr>
        <w:spacing w:after="0" w:line="144" w:lineRule="exact"/>
        <w:rPr>
          <w:sz w:val="24"/>
          <w:szCs w:val="24"/>
          <w:color w:val="auto"/>
        </w:rPr>
      </w:pPr>
    </w:p>
    <w:p>
      <w:pPr>
        <w:ind w:right="540"/>
        <w:spacing w:after="0" w:line="228" w:lineRule="auto"/>
        <w:rPr>
          <w:sz w:val="20"/>
          <w:szCs w:val="20"/>
          <w:color w:val="auto"/>
        </w:rPr>
      </w:pPr>
      <w:r>
        <w:rPr>
          <w:rFonts w:ascii="Times New Roman" w:cs="Times New Roman" w:eastAsia="Times New Roman" w:hAnsi="Times New Roman"/>
          <w:sz w:val="17"/>
          <w:szCs w:val="17"/>
          <w:color w:val="auto"/>
        </w:rPr>
        <w:t>Enclosed for filing, pursuant to Rule 17g-1 of the Investment Company Act of 1940, as amended (the “Investment Company Act”), please find the following information with respect to Carlyle Secured Lending, Inc. (“CSL”) and Carlyle Credit Solutions, Inc. (“CARS”) (each, a “Company” and collectively, the “Companies”). Please note for the Securities and Exchange Commission’s records, the following:</w:t>
      </w:r>
    </w:p>
    <w:p>
      <w:pPr>
        <w:spacing w:after="0" w:line="164" w:lineRule="exact"/>
        <w:rPr>
          <w:sz w:val="24"/>
          <w:szCs w:val="24"/>
          <w:color w:val="auto"/>
        </w:rPr>
      </w:pPr>
    </w:p>
    <w:p>
      <w:pPr>
        <w:ind w:left="1060" w:hanging="564"/>
        <w:spacing w:after="0"/>
        <w:tabs>
          <w:tab w:leader="none" w:pos="10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A copy of the Companies’ executed Joint Fidelity Bond enclosed under Exhibit 1</w:t>
      </w:r>
      <w:r>
        <w:rPr>
          <w:rFonts w:ascii="Times New Roman" w:cs="Times New Roman" w:eastAsia="Times New Roman" w:hAnsi="Times New Roman"/>
          <w:sz w:val="17"/>
          <w:szCs w:val="17"/>
          <w:color w:val="0000FF"/>
        </w:rPr>
        <w:t>;</w:t>
      </w:r>
    </w:p>
    <w:p>
      <w:pPr>
        <w:spacing w:after="0" w:line="281" w:lineRule="exact"/>
        <w:rPr>
          <w:rFonts w:ascii="Times New Roman" w:cs="Times New Roman" w:eastAsia="Times New Roman" w:hAnsi="Times New Roman"/>
          <w:sz w:val="17"/>
          <w:szCs w:val="17"/>
          <w:color w:val="auto"/>
        </w:rPr>
      </w:pPr>
    </w:p>
    <w:p>
      <w:pPr>
        <w:ind w:left="1060" w:hanging="564"/>
        <w:spacing w:after="0" w:line="228" w:lineRule="auto"/>
        <w:tabs>
          <w:tab w:leader="none" w:pos="10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A copy of the written consent dated April 9, 2026 of the Companies’ Boards of Directors, by which a majority of directors not considered “interested persons” of the Companies within the meaning of the Investment Company Act approved the amount, type, form and coverage of the Joint Fidelity Bond, is enclosed under Exhibit 2;</w:t>
      </w:r>
    </w:p>
    <w:p>
      <w:pPr>
        <w:spacing w:after="0" w:line="249" w:lineRule="exact"/>
        <w:rPr>
          <w:rFonts w:ascii="Times New Roman" w:cs="Times New Roman" w:eastAsia="Times New Roman" w:hAnsi="Times New Roman"/>
          <w:sz w:val="17"/>
          <w:szCs w:val="17"/>
          <w:color w:val="auto"/>
        </w:rPr>
      </w:pPr>
    </w:p>
    <w:p>
      <w:pPr>
        <w:ind w:left="1060" w:right="340" w:hanging="564"/>
        <w:spacing w:after="0" w:line="238" w:lineRule="auto"/>
        <w:tabs>
          <w:tab w:leader="none" w:pos="10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Companies were not participants in the Joint Fidelity Bond, they would have each maintained a single insured bond which would not have exceeded $2,500,000;</w:t>
      </w:r>
    </w:p>
    <w:p>
      <w:pPr>
        <w:spacing w:after="0" w:line="280" w:lineRule="exact"/>
        <w:rPr>
          <w:rFonts w:ascii="Times New Roman" w:cs="Times New Roman" w:eastAsia="Times New Roman" w:hAnsi="Times New Roman"/>
          <w:sz w:val="17"/>
          <w:szCs w:val="17"/>
          <w:color w:val="auto"/>
        </w:rPr>
      </w:pPr>
    </w:p>
    <w:p>
      <w:pPr>
        <w:ind w:left="1060" w:hanging="564"/>
        <w:spacing w:after="0"/>
        <w:tabs>
          <w:tab w:leader="none" w:pos="10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Joint Fidelity Bond covers the period from April 12, 2026 through April 12, 2027;</w:t>
      </w:r>
    </w:p>
    <w:p>
      <w:pPr>
        <w:sectPr>
          <w:pgSz w:w="11900" w:h="16838" w:orient="portrait"/>
          <w:cols w:equalWidth="0" w:num="1">
            <w:col w:w="11200"/>
          </w:cols>
          <w:pgMar w:left="300" w:top="1440" w:right="39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60" w:hanging="564"/>
        <w:spacing w:after="0"/>
        <w:tabs>
          <w:tab w:leader="none" w:pos="10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premiums have been paid for the period from April 12, 2026 through April 12, 2027; and</w:t>
      </w:r>
    </w:p>
    <w:p>
      <w:pPr>
        <w:spacing w:after="0" w:line="292" w:lineRule="exact"/>
        <w:rPr>
          <w:rFonts w:ascii="Times New Roman" w:cs="Times New Roman" w:eastAsia="Times New Roman" w:hAnsi="Times New Roman"/>
          <w:sz w:val="17"/>
          <w:szCs w:val="17"/>
          <w:color w:val="auto"/>
        </w:rPr>
      </w:pPr>
    </w:p>
    <w:p>
      <w:pPr>
        <w:ind w:left="1060" w:hanging="564"/>
        <w:spacing w:after="0"/>
        <w:tabs>
          <w:tab w:leader="none" w:pos="10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A copy of the agreement among the Companies entered into pursuant to paragraph (f) of Rule 17g-1 is enclosed under Exhibit 3.</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contact me if you have any questions or require additional information.</w:t>
      </w:r>
    </w:p>
    <w:p>
      <w:pPr>
        <w:spacing w:after="0" w:line="39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14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u w:val="single" w:color="auto"/>
          <w:color w:val="auto"/>
        </w:rPr>
        <w:t>/s/ Joshua Lefkowitz</w:t>
      </w:r>
    </w:p>
    <w:p>
      <w:pPr>
        <w:spacing w:after="0" w:line="16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color w:val="auto"/>
        </w:rPr>
        <w:t>Secretary</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Enclosures</w:t>
      </w:r>
    </w:p>
    <w:p>
      <w:pPr>
        <w:sectPr>
          <w:pgSz w:w="11900" w:h="16838" w:orient="portrait"/>
          <w:cols w:equalWidth="0" w:num="1">
            <w:col w:w="10159"/>
          </w:cols>
          <w:pgMar w:left="300" w:top="1440" w:right="1440"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54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54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541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54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541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54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7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6" w:name="page47"/>
    <w:bookmarkEnd w:id="46"/>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1530"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10515600"/>
                    </a:xfrm>
                    <a:prstGeom prst="rect">
                      <a:avLst/>
                    </a:prstGeom>
                    <a:noFill/>
                  </pic:spPr>
                </pic:pic>
              </a:graphicData>
            </a:graphic>
          </wp:anchor>
        </w:drawing>
      </w:r>
    </w:p>
    <w:p>
      <w:pPr>
        <w:ind w:left="3040"/>
        <w:spacing w:after="0"/>
        <w:rPr>
          <w:sz w:val="20"/>
          <w:szCs w:val="20"/>
          <w:color w:val="auto"/>
        </w:rPr>
      </w:pPr>
      <w:r>
        <w:rPr>
          <w:rFonts w:ascii="Times New Roman" w:cs="Times New Roman" w:eastAsia="Times New Roman" w:hAnsi="Times New Roman"/>
          <w:sz w:val="17"/>
          <w:szCs w:val="17"/>
          <w:b w:val="1"/>
          <w:bCs w:val="1"/>
          <w:color w:val="auto"/>
        </w:rPr>
        <w:t>CARLYLE SECURED LENDING, INC.</w:t>
      </w:r>
    </w:p>
    <w:p>
      <w:pPr>
        <w:spacing w:after="0" w:line="2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b w:val="1"/>
          <w:bCs w:val="1"/>
          <w:color w:val="auto"/>
        </w:rPr>
        <w:t>CARLYLE CREDIT SOLUTIONS, INC.</w:t>
      </w:r>
    </w:p>
    <w:p>
      <w:pPr>
        <w:spacing w:after="0" w:line="1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WRITTEN CONSENT OF THE BOARD OF</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DIRECTORS OF EACH COMPANY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LIEU OF A MEETING</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April 9, 2026</w:t>
      </w:r>
    </w:p>
    <w:p>
      <w:pPr>
        <w:spacing w:after="0" w:line="218" w:lineRule="exact"/>
        <w:rPr>
          <w:sz w:val="20"/>
          <w:szCs w:val="20"/>
          <w:color w:val="auto"/>
        </w:rPr>
      </w:pPr>
    </w:p>
    <w:p>
      <w:pPr>
        <w:ind w:left="1200" w:right="1199" w:firstLine="509"/>
        <w:spacing w:after="0" w:line="253" w:lineRule="auto"/>
        <w:rPr>
          <w:sz w:val="20"/>
          <w:szCs w:val="20"/>
          <w:color w:val="auto"/>
        </w:rPr>
      </w:pPr>
      <w:r>
        <w:rPr>
          <w:rFonts w:ascii="Times New Roman" w:cs="Times New Roman" w:eastAsia="Times New Roman" w:hAnsi="Times New Roman"/>
          <w:sz w:val="17"/>
          <w:szCs w:val="17"/>
          <w:color w:val="auto"/>
        </w:rPr>
        <w:t xml:space="preserve">The undersigned, being all of the members of the Boards of Directors (the “ </w:t>
      </w:r>
      <w:r>
        <w:rPr>
          <w:rFonts w:ascii="Times New Roman" w:cs="Times New Roman" w:eastAsia="Times New Roman" w:hAnsi="Times New Roman"/>
          <w:sz w:val="17"/>
          <w:szCs w:val="17"/>
          <w:u w:val="single" w:color="auto"/>
          <w:color w:val="auto"/>
        </w:rPr>
        <w:t>Boards</w:t>
      </w:r>
      <w:r>
        <w:rPr>
          <w:rFonts w:ascii="Times New Roman" w:cs="Times New Roman" w:eastAsia="Times New Roman" w:hAnsi="Times New Roman"/>
          <w:sz w:val="17"/>
          <w:szCs w:val="17"/>
          <w:color w:val="auto"/>
        </w:rPr>
        <w:t xml:space="preserve">” and each a “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xml:space="preserve">”), of Carlyle Secured Lending, Inc. (“ </w:t>
      </w:r>
      <w:r>
        <w:rPr>
          <w:rFonts w:ascii="Times New Roman" w:cs="Times New Roman" w:eastAsia="Times New Roman" w:hAnsi="Times New Roman"/>
          <w:sz w:val="17"/>
          <w:szCs w:val="17"/>
          <w:u w:val="single" w:color="auto"/>
          <w:color w:val="auto"/>
        </w:rPr>
        <w:t>CSL</w:t>
      </w:r>
      <w:r>
        <w:rPr>
          <w:rFonts w:ascii="Times New Roman" w:cs="Times New Roman" w:eastAsia="Times New Roman" w:hAnsi="Times New Roman"/>
          <w:sz w:val="17"/>
          <w:szCs w:val="17"/>
          <w:color w:val="auto"/>
        </w:rPr>
        <w:t>”) and Carlyle Credit Solutions, Inc. (“</w:t>
      </w:r>
      <w:r>
        <w:rPr>
          <w:rFonts w:ascii="Times New Roman" w:cs="Times New Roman" w:eastAsia="Times New Roman" w:hAnsi="Times New Roman"/>
          <w:sz w:val="17"/>
          <w:szCs w:val="17"/>
          <w:u w:val="single" w:color="auto"/>
          <w:color w:val="auto"/>
        </w:rPr>
        <w:t>CARS</w:t>
      </w:r>
      <w:r>
        <w:rPr>
          <w:rFonts w:ascii="Times New Roman" w:cs="Times New Roman" w:eastAsia="Times New Roman" w:hAnsi="Times New Roman"/>
          <w:sz w:val="17"/>
          <w:szCs w:val="17"/>
          <w:color w:val="auto"/>
        </w:rPr>
        <w:t xml:space="preserve">” and, together with CSL, the “ </w:t>
      </w:r>
      <w:r>
        <w:rPr>
          <w:rFonts w:ascii="Times New Roman" w:cs="Times New Roman" w:eastAsia="Times New Roman" w:hAnsi="Times New Roman"/>
          <w:sz w:val="17"/>
          <w:szCs w:val="17"/>
          <w:u w:val="single" w:color="auto"/>
          <w:color w:val="auto"/>
        </w:rPr>
        <w:t>Companies</w:t>
      </w:r>
      <w:r>
        <w:rPr>
          <w:rFonts w:ascii="Times New Roman" w:cs="Times New Roman" w:eastAsia="Times New Roman" w:hAnsi="Times New Roman"/>
          <w:sz w:val="17"/>
          <w:szCs w:val="17"/>
          <w:color w:val="auto"/>
        </w:rPr>
        <w:t xml:space="preserve">” and each a “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each a Maryland Corporation, acting without a meeting pursuant to Section 2-408(c) of the Maryland General Corporation Law, hereby approve and adopt by this written consent the following resolutions with the same force and effect as if they had been unanimously approved and adopted at a duly convened meeting of the Boards, and direct that this written consent be filed with the minutes of the proceedings of the Boards: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Approval of Joint Fidelity Bond</w:t>
      </w:r>
    </w:p>
    <w:p>
      <w:pPr>
        <w:spacing w:after="0" w:line="212" w:lineRule="exact"/>
        <w:rPr>
          <w:sz w:val="20"/>
          <w:szCs w:val="20"/>
          <w:color w:val="auto"/>
        </w:rPr>
      </w:pPr>
    </w:p>
    <w:p>
      <w:pPr>
        <w:ind w:left="1200" w:right="1239" w:firstLine="509"/>
        <w:spacing w:after="0" w:line="254" w:lineRule="auto"/>
        <w:rPr>
          <w:sz w:val="20"/>
          <w:szCs w:val="20"/>
          <w:color w:val="auto"/>
        </w:rPr>
      </w:pPr>
      <w:r>
        <w:rPr>
          <w:rFonts w:ascii="Times New Roman" w:cs="Times New Roman" w:eastAsia="Times New Roman" w:hAnsi="Times New Roman"/>
          <w:sz w:val="17"/>
          <w:szCs w:val="17"/>
          <w:color w:val="auto"/>
        </w:rPr>
        <w:t>WHEREAS, Section 17(g) of the 1940 Act and Rule 17g-1(a) thereunder, which apply to each Company pursuant to Section 59 of the 1940 Act, require BDCs, such as each Company, to provide and maintain a bond which has been issued by a reputable fidelity insurance company authorized to do business in the place where the bond is issued, to protect each Company against larceny and embezzlement, covering each officer and employee of either Company who may singly, or jointly with others, have access to the securities or funds of such Company, either directly or through authority to draw upon such funds of, or to direct generally, the disposition of such securities, unless the officer or employee has such access solely through his position as an officer or employee of a bank (each, a “</w:t>
      </w:r>
      <w:r>
        <w:rPr>
          <w:rFonts w:ascii="Times New Roman" w:cs="Times New Roman" w:eastAsia="Times New Roman" w:hAnsi="Times New Roman"/>
          <w:sz w:val="17"/>
          <w:szCs w:val="17"/>
          <w:u w:val="single" w:color="auto"/>
          <w:color w:val="auto"/>
        </w:rPr>
        <w:t>covered person</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left="1200" w:right="1239" w:firstLine="509"/>
        <w:spacing w:after="0" w:line="253" w:lineRule="auto"/>
        <w:rPr>
          <w:sz w:val="20"/>
          <w:szCs w:val="20"/>
          <w:color w:val="auto"/>
        </w:rPr>
      </w:pPr>
      <w:r>
        <w:rPr>
          <w:rFonts w:ascii="Times New Roman" w:cs="Times New Roman" w:eastAsia="Times New Roman" w:hAnsi="Times New Roman"/>
          <w:sz w:val="17"/>
          <w:szCs w:val="17"/>
          <w:color w:val="auto"/>
        </w:rPr>
        <w:t xml:space="preserve">WHEREAS, Rule 17g-1 under the 1940 Act requires that a majority of the directors or trustees who are not “interested persons” as defined in Section 2(a)(19) of the Investment Company Act (the “ </w:t>
      </w:r>
      <w:r>
        <w:rPr>
          <w:rFonts w:ascii="Times New Roman" w:cs="Times New Roman" w:eastAsia="Times New Roman" w:hAnsi="Times New Roman"/>
          <w:sz w:val="17"/>
          <w:szCs w:val="17"/>
          <w:u w:val="single" w:color="auto"/>
          <w:color w:val="auto"/>
        </w:rPr>
        <w:t>Independent Directors</w:t>
      </w:r>
      <w:r>
        <w:rPr>
          <w:rFonts w:ascii="Times New Roman" w:cs="Times New Roman" w:eastAsia="Times New Roman" w:hAnsi="Times New Roman"/>
          <w:sz w:val="17"/>
          <w:szCs w:val="17"/>
          <w:color w:val="auto"/>
        </w:rPr>
        <w:t>”) approve periodically (but not less than once every 12 months), in accordance with the provisions of Rule 17g-1, the reasonableness of the form and amount of the bond, with due consideration to, among other things, the value of the aggregate assets of each respective Company to which any covered person may have access, the type and terms of the arrangements made for the custody and safekeeping of such assets, and the nature of securities and other investments to be held by each respective Company; and</w:t>
      </w:r>
    </w:p>
    <w:p>
      <w:pPr>
        <w:spacing w:after="0" w:line="187" w:lineRule="exact"/>
        <w:rPr>
          <w:sz w:val="20"/>
          <w:szCs w:val="20"/>
          <w:color w:val="auto"/>
        </w:rPr>
      </w:pPr>
    </w:p>
    <w:p>
      <w:pPr>
        <w:jc w:val="both"/>
        <w:ind w:left="1200" w:right="1399" w:firstLine="509"/>
        <w:spacing w:after="0" w:line="257" w:lineRule="auto"/>
        <w:rPr>
          <w:sz w:val="20"/>
          <w:szCs w:val="20"/>
          <w:color w:val="auto"/>
        </w:rPr>
      </w:pPr>
      <w:r>
        <w:rPr>
          <w:rFonts w:ascii="Times New Roman" w:cs="Times New Roman" w:eastAsia="Times New Roman" w:hAnsi="Times New Roman"/>
          <w:sz w:val="17"/>
          <w:szCs w:val="17"/>
          <w:color w:val="auto"/>
        </w:rPr>
        <w:t>WHEREAS, under Rule 17g-1 under the 1940 Act, each Company is required to make certain filings with the SEC and give certain notices to each member of its respective Board in connection with the bond, and designate an officer who shall make such filings and give such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0" w:right="1239" w:firstLine="509"/>
        <w:spacing w:after="0" w:line="251" w:lineRule="auto"/>
        <w:rPr>
          <w:sz w:val="20"/>
          <w:szCs w:val="20"/>
          <w:color w:val="auto"/>
        </w:rPr>
      </w:pPr>
      <w:r>
        <w:rPr>
          <w:rFonts w:ascii="Times New Roman" w:cs="Times New Roman" w:eastAsia="Times New Roman" w:hAnsi="Times New Roman"/>
          <w:sz w:val="17"/>
          <w:szCs w:val="17"/>
          <w:color w:val="auto"/>
        </w:rPr>
        <w:t>NOW, THEREFORE, BE IT RESOLVED, that, having considered all factors deemed relevant by each Board, including, but not limited to: (i) the expected aggregate value of the securities and funds of each respective Company to which officers or employees of such Company may have access (either directly or through authority to draw upon such funds or to direct generally the disposition of such securities); (ii) the type and terms of the arrangements made for the custody of such securities and funds; (iii) the nature of securities and other investments to be held by each Company; (iv) the accounting procedures and controls of each respective Company; (v) the nature and method of conducting the operations of each respective Company and (vi) the requirements of Section 17(g) of the 1940 Act and Rule 17g-1 thereunder, each Board, including all of the Independent Directors, hereby determines that the amount, type, form, portion of the premium to be paid by each Company and coverage of the fidelity bond (the “</w:t>
      </w:r>
      <w:r>
        <w:rPr>
          <w:rFonts w:ascii="Times New Roman" w:cs="Times New Roman" w:eastAsia="Times New Roman" w:hAnsi="Times New Roman"/>
          <w:sz w:val="17"/>
          <w:szCs w:val="17"/>
          <w:u w:val="single" w:color="auto"/>
          <w:color w:val="auto"/>
        </w:rPr>
        <w:t>Fidelity Bond</w:t>
      </w:r>
      <w:r>
        <w:rPr>
          <w:rFonts w:ascii="Times New Roman" w:cs="Times New Roman" w:eastAsia="Times New Roman" w:hAnsi="Times New Roman"/>
          <w:sz w:val="17"/>
          <w:szCs w:val="17"/>
          <w:color w:val="auto"/>
        </w:rPr>
        <w:t xml:space="preserve"> ”), in substantially the form provided herewith, covering, among others, the officers and employees of their respective Company and insuring each Company against loss from fraudulent or dishonest acts, including larceny and embezzlement, issued by Berkley Regional Insurance Company having an aggregate coverage of $5,000,000 which amount may increase pursuant to the terms of the Fidelity Bond, is fair and reasonable, and it hereby is confirmed, ratified and approved; and it is further</w:t>
      </w:r>
    </w:p>
    <w:p>
      <w:pPr>
        <w:spacing w:after="0" w:line="195" w:lineRule="exact"/>
        <w:rPr>
          <w:sz w:val="20"/>
          <w:szCs w:val="20"/>
          <w:color w:val="auto"/>
        </w:rPr>
      </w:pPr>
    </w:p>
    <w:p>
      <w:pPr>
        <w:jc w:val="both"/>
        <w:ind w:left="1200" w:right="1279" w:firstLine="509"/>
        <w:spacing w:after="0" w:line="285" w:lineRule="auto"/>
        <w:rPr>
          <w:sz w:val="20"/>
          <w:szCs w:val="20"/>
          <w:color w:val="auto"/>
        </w:rPr>
      </w:pPr>
      <w:r>
        <w:rPr>
          <w:rFonts w:ascii="Times New Roman" w:cs="Times New Roman" w:eastAsia="Times New Roman" w:hAnsi="Times New Roman"/>
          <w:sz w:val="16"/>
          <w:szCs w:val="16"/>
          <w:color w:val="auto"/>
        </w:rPr>
        <w:t xml:space="preserve">RESOLVED, that each Company’s officers (each, an “ </w:t>
      </w:r>
      <w:r>
        <w:rPr>
          <w:rFonts w:ascii="Times New Roman" w:cs="Times New Roman" w:eastAsia="Times New Roman" w:hAnsi="Times New Roman"/>
          <w:sz w:val="16"/>
          <w:szCs w:val="16"/>
          <w:u w:val="single" w:color="auto"/>
          <w:color w:val="auto"/>
        </w:rPr>
        <w:t>Authorized Officer</w:t>
      </w:r>
      <w:r>
        <w:rPr>
          <w:rFonts w:ascii="Times New Roman" w:cs="Times New Roman" w:eastAsia="Times New Roman" w:hAnsi="Times New Roman"/>
          <w:sz w:val="16"/>
          <w:szCs w:val="16"/>
          <w:color w:val="auto"/>
        </w:rPr>
        <w:t xml:space="preserve"> ” and collectively, the “ </w:t>
      </w:r>
      <w:r>
        <w:rPr>
          <w:rFonts w:ascii="Times New Roman" w:cs="Times New Roman" w:eastAsia="Times New Roman" w:hAnsi="Times New Roman"/>
          <w:sz w:val="16"/>
          <w:szCs w:val="16"/>
          <w:u w:val="single" w:color="auto"/>
          <w:color w:val="auto"/>
        </w:rPr>
        <w:t>Authorized Officers</w:t>
      </w:r>
      <w:r>
        <w:rPr>
          <w:rFonts w:ascii="Times New Roman" w:cs="Times New Roman" w:eastAsia="Times New Roman" w:hAnsi="Times New Roman"/>
          <w:sz w:val="16"/>
          <w:szCs w:val="16"/>
          <w:color w:val="auto"/>
        </w:rPr>
        <w:t>”) be, and each of them individually hereby is, authorized, empowered and directed to take all appropriate actions, with the advice of legal counsel to each</w:t>
      </w:r>
    </w:p>
    <w:p>
      <w:pPr>
        <w:sectPr>
          <w:pgSz w:w="11900" w:h="16974" w:orient="portrait"/>
          <w:cols w:equalWidth="0" w:num="1">
            <w:col w:w="9019"/>
          </w:cols>
          <w:pgMar w:left="1440" w:top="1102" w:right="1440" w:bottom="0" w:gutter="0" w:footer="0" w:header="0"/>
        </w:sectPr>
      </w:pPr>
    </w:p>
    <w:bookmarkStart w:id="47" w:name="page48"/>
    <w:bookmarkEnd w:id="47"/>
    <w:p>
      <w:pPr>
        <w:ind w:left="1200" w:right="1259"/>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1530"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10515600"/>
                    </a:xfrm>
                    <a:prstGeom prst="rect">
                      <a:avLst/>
                    </a:prstGeom>
                    <a:noFill/>
                  </pic:spPr>
                </pic:pic>
              </a:graphicData>
            </a:graphic>
          </wp:anchor>
        </w:drawing>
        <w:t>Company, to provide and maintain the Fidelity Bond on behalf of their respective Company; and it is further</w:t>
      </w:r>
    </w:p>
    <w:p>
      <w:pPr>
        <w:spacing w:after="0" w:line="166" w:lineRule="exact"/>
        <w:rPr>
          <w:sz w:val="20"/>
          <w:szCs w:val="20"/>
          <w:color w:val="auto"/>
        </w:rPr>
      </w:pPr>
    </w:p>
    <w:p>
      <w:pPr>
        <w:ind w:left="1200" w:right="1439" w:firstLine="509"/>
        <w:spacing w:after="0" w:line="262" w:lineRule="auto"/>
        <w:rPr>
          <w:sz w:val="20"/>
          <w:szCs w:val="20"/>
          <w:color w:val="auto"/>
        </w:rPr>
      </w:pPr>
      <w:r>
        <w:rPr>
          <w:rFonts w:ascii="Times New Roman" w:cs="Times New Roman" w:eastAsia="Times New Roman" w:hAnsi="Times New Roman"/>
          <w:sz w:val="17"/>
          <w:szCs w:val="17"/>
          <w:color w:val="auto"/>
        </w:rPr>
        <w:t>RESOLVED, that the Authorized Officers be, and each of them individually hereby is, authorized, empowered and directed to file a copy of the Fidelity Bond and any other related document or instrument with the SEC; and it is further</w:t>
      </w:r>
    </w:p>
    <w:p>
      <w:pPr>
        <w:spacing w:after="0" w:line="177" w:lineRule="exact"/>
        <w:rPr>
          <w:sz w:val="20"/>
          <w:szCs w:val="20"/>
          <w:color w:val="auto"/>
        </w:rPr>
      </w:pPr>
    </w:p>
    <w:p>
      <w:pPr>
        <w:ind w:left="1200" w:right="1439" w:firstLine="509"/>
        <w:spacing w:after="0" w:line="262" w:lineRule="auto"/>
        <w:rPr>
          <w:sz w:val="20"/>
          <w:szCs w:val="20"/>
          <w:color w:val="auto"/>
        </w:rPr>
      </w:pPr>
      <w:r>
        <w:rPr>
          <w:rFonts w:ascii="Times New Roman" w:cs="Times New Roman" w:eastAsia="Times New Roman" w:hAnsi="Times New Roman"/>
          <w:sz w:val="17"/>
          <w:szCs w:val="17"/>
          <w:color w:val="auto"/>
        </w:rPr>
        <w:t>RESOLVED, that the Authorized Officers be, and each of them individually hereby is, authorized and directed to cause their respective Company to pay its ratable allocation of the annual premium payable with respect to the Fidelity Bond; and it is further</w:t>
      </w:r>
    </w:p>
    <w:p>
      <w:pPr>
        <w:spacing w:after="0" w:line="166" w:lineRule="exact"/>
        <w:rPr>
          <w:sz w:val="20"/>
          <w:szCs w:val="20"/>
          <w:color w:val="auto"/>
        </w:rPr>
      </w:pPr>
    </w:p>
    <w:p>
      <w:pPr>
        <w:ind w:left="1200" w:right="1259" w:firstLine="509"/>
        <w:spacing w:after="0" w:line="255" w:lineRule="auto"/>
        <w:rPr>
          <w:sz w:val="20"/>
          <w:szCs w:val="20"/>
          <w:color w:val="auto"/>
        </w:rPr>
      </w:pPr>
      <w:r>
        <w:rPr>
          <w:rFonts w:ascii="Times New Roman" w:cs="Times New Roman" w:eastAsia="Times New Roman" w:hAnsi="Times New Roman"/>
          <w:sz w:val="17"/>
          <w:szCs w:val="17"/>
          <w:color w:val="auto"/>
        </w:rPr>
        <w:t xml:space="preserve">RESOLVED, that the form, terms, and provisions of the joint allocation agreement entered into by each Company and any subsidiaries thereof, which reflects the provisions of the Fidelity Bond and relate to the sharing of premiums and division of proceeds in the event of a joint fidelity loss, as required by Rule 17g-1(f) (the “ </w:t>
      </w:r>
      <w:r>
        <w:rPr>
          <w:rFonts w:ascii="Times New Roman" w:cs="Times New Roman" w:eastAsia="Times New Roman" w:hAnsi="Times New Roman"/>
          <w:sz w:val="17"/>
          <w:szCs w:val="17"/>
          <w:u w:val="single" w:color="auto"/>
          <w:color w:val="auto"/>
        </w:rPr>
        <w:t>Joint Allocation Agreement</w:t>
      </w:r>
      <w:r>
        <w:rPr>
          <w:rFonts w:ascii="Times New Roman" w:cs="Times New Roman" w:eastAsia="Times New Roman" w:hAnsi="Times New Roman"/>
          <w:sz w:val="17"/>
          <w:szCs w:val="17"/>
          <w:color w:val="auto"/>
        </w:rPr>
        <w:t xml:space="preserve"> ”), a copy of which is provided herewith, and the transactions contemplated thereby, be, and they hereby are, confirmed, ratified, approved and adopted in all respects; and it is further</w:t>
      </w:r>
    </w:p>
    <w:p>
      <w:pPr>
        <w:spacing w:after="0" w:line="186" w:lineRule="exact"/>
        <w:rPr>
          <w:sz w:val="20"/>
          <w:szCs w:val="20"/>
          <w:color w:val="auto"/>
        </w:rPr>
      </w:pPr>
    </w:p>
    <w:p>
      <w:pPr>
        <w:ind w:left="1200" w:right="1219" w:firstLine="509"/>
        <w:spacing w:after="0" w:line="262" w:lineRule="auto"/>
        <w:rPr>
          <w:sz w:val="20"/>
          <w:szCs w:val="20"/>
          <w:color w:val="auto"/>
        </w:rPr>
      </w:pPr>
      <w:r>
        <w:rPr>
          <w:rFonts w:ascii="Times New Roman" w:cs="Times New Roman" w:eastAsia="Times New Roman" w:hAnsi="Times New Roman"/>
          <w:sz w:val="17"/>
          <w:szCs w:val="17"/>
          <w:color w:val="auto"/>
        </w:rPr>
        <w:t>RESOLVED, that the execution and delivery of the Joint Fidelity Bond Agreement by the Authorized Officers be, and they hereby are, confirmed, ratified, approved and adopted in all respects; and it is further</w:t>
      </w:r>
    </w:p>
    <w:p>
      <w:pPr>
        <w:spacing w:after="0" w:line="177" w:lineRule="exact"/>
        <w:rPr>
          <w:sz w:val="20"/>
          <w:szCs w:val="20"/>
          <w:color w:val="auto"/>
        </w:rPr>
      </w:pPr>
    </w:p>
    <w:p>
      <w:pPr>
        <w:ind w:left="1200" w:right="1499" w:firstLine="509"/>
        <w:spacing w:after="0" w:line="308" w:lineRule="auto"/>
        <w:rPr>
          <w:sz w:val="20"/>
          <w:szCs w:val="20"/>
          <w:color w:val="auto"/>
        </w:rPr>
      </w:pPr>
      <w:r>
        <w:rPr>
          <w:rFonts w:ascii="Times New Roman" w:cs="Times New Roman" w:eastAsia="Times New Roman" w:hAnsi="Times New Roman"/>
          <w:sz w:val="16"/>
          <w:szCs w:val="16"/>
          <w:color w:val="auto"/>
        </w:rPr>
        <w:t>RESOLVED, that the Authorized Officers be, and each of them hereby is, authorized, empowered and directed, in the name and on behalf of their respective Company, to make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0" w:right="1519"/>
        <w:spacing w:after="0" w:line="277" w:lineRule="auto"/>
        <w:rPr>
          <w:sz w:val="20"/>
          <w:szCs w:val="20"/>
          <w:color w:val="auto"/>
        </w:rPr>
      </w:pPr>
      <w:r>
        <w:rPr>
          <w:rFonts w:ascii="Times New Roman" w:cs="Times New Roman" w:eastAsia="Times New Roman" w:hAnsi="Times New Roman"/>
          <w:sz w:val="16"/>
          <w:szCs w:val="16"/>
          <w:color w:val="auto"/>
        </w:rPr>
        <w:t>cause to be made, and to execute and deliver, all such additional agreements, documents, instruments and certifications and to take all such steps, to perform all of the agreements and obligations of their respective Company thereunder, and to make all such payments, fees and remittances, as any one or more of such officers may at any time or times deem necessary or desirable in order to effectuate the purpose and intent of the foregoing resolutions.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Approval of Directors and Officers Insurance</w:t>
      </w:r>
    </w:p>
    <w:p>
      <w:pPr>
        <w:spacing w:after="0" w:line="222" w:lineRule="exact"/>
        <w:rPr>
          <w:sz w:val="20"/>
          <w:szCs w:val="20"/>
          <w:color w:val="auto"/>
        </w:rPr>
      </w:pPr>
    </w:p>
    <w:p>
      <w:pPr>
        <w:ind w:left="1200" w:right="1199" w:firstLine="509"/>
        <w:spacing w:after="0" w:line="274" w:lineRule="auto"/>
        <w:rPr>
          <w:sz w:val="20"/>
          <w:szCs w:val="20"/>
          <w:color w:val="auto"/>
        </w:rPr>
      </w:pPr>
      <w:r>
        <w:rPr>
          <w:rFonts w:ascii="Times New Roman" w:cs="Times New Roman" w:eastAsia="Times New Roman" w:hAnsi="Times New Roman"/>
          <w:sz w:val="16"/>
          <w:szCs w:val="16"/>
          <w:color w:val="auto"/>
        </w:rPr>
        <w:t xml:space="preserve">WHEREAS, each Board has determined that it is in the best interests of its respective Company to obtain insurance coverage for its Directors, officers, Carlyle Global Credit Administration L.L.C. (the “ </w:t>
      </w:r>
      <w:r>
        <w:rPr>
          <w:rFonts w:ascii="Times New Roman" w:cs="Times New Roman" w:eastAsia="Times New Roman" w:hAnsi="Times New Roman"/>
          <w:sz w:val="16"/>
          <w:szCs w:val="16"/>
          <w:u w:val="single" w:color="auto"/>
          <w:color w:val="auto"/>
        </w:rPr>
        <w:t>Administrator</w:t>
      </w:r>
      <w:r>
        <w:rPr>
          <w:rFonts w:ascii="Times New Roman" w:cs="Times New Roman" w:eastAsia="Times New Roman" w:hAnsi="Times New Roman"/>
          <w:sz w:val="16"/>
          <w:szCs w:val="16"/>
          <w:color w:val="auto"/>
        </w:rPr>
        <w:t>”), the Advisers and subsidiaries and employees thereof against losses and expenses (with certain exceptions) for claims made against them acting in their respective capacities for their respective Company to permit their respective Company to continue to attract and retain well-qualified officers, Directors and service providers;</w:t>
      </w:r>
    </w:p>
    <w:p>
      <w:pPr>
        <w:spacing w:after="0" w:line="161" w:lineRule="exact"/>
        <w:rPr>
          <w:sz w:val="20"/>
          <w:szCs w:val="20"/>
          <w:color w:val="auto"/>
        </w:rPr>
      </w:pPr>
    </w:p>
    <w:p>
      <w:pPr>
        <w:ind w:left="1200" w:right="1559" w:firstLine="509"/>
        <w:spacing w:after="0" w:line="258" w:lineRule="auto"/>
        <w:rPr>
          <w:sz w:val="20"/>
          <w:szCs w:val="20"/>
          <w:color w:val="auto"/>
        </w:rPr>
      </w:pPr>
      <w:r>
        <w:rPr>
          <w:rFonts w:ascii="Times New Roman" w:cs="Times New Roman" w:eastAsia="Times New Roman" w:hAnsi="Times New Roman"/>
          <w:sz w:val="17"/>
          <w:szCs w:val="17"/>
          <w:color w:val="auto"/>
        </w:rPr>
        <w:t>WHEREAS, each Board, including a majority of the Independent Directors, has determined that it is in the best interests of its respective Company to secure a Directors and Officers/Errors and Omissions Liability Policy covering the Directors and officers of each Company jointly with the Administrator, the Advisers and their respective subsidiaries and personnel (collectively, the “</w:t>
      </w:r>
      <w:r>
        <w:rPr>
          <w:rFonts w:ascii="Times New Roman" w:cs="Times New Roman" w:eastAsia="Times New Roman" w:hAnsi="Times New Roman"/>
          <w:sz w:val="17"/>
          <w:szCs w:val="17"/>
          <w:u w:val="single" w:color="auto"/>
          <w:color w:val="auto"/>
        </w:rPr>
        <w:t>Insurance Policy</w:t>
      </w:r>
      <w:r>
        <w:rPr>
          <w:rFonts w:ascii="Times New Roman" w:cs="Times New Roman" w:eastAsia="Times New Roman" w:hAnsi="Times New Roman"/>
          <w:sz w:val="17"/>
          <w:szCs w:val="17"/>
          <w:color w:val="auto"/>
        </w:rPr>
        <w:t>”); and</w:t>
      </w:r>
    </w:p>
    <w:p>
      <w:pPr>
        <w:spacing w:after="0" w:line="169" w:lineRule="exact"/>
        <w:rPr>
          <w:sz w:val="20"/>
          <w:szCs w:val="20"/>
          <w:color w:val="auto"/>
        </w:rPr>
      </w:pPr>
    </w:p>
    <w:p>
      <w:pPr>
        <w:ind w:left="1200" w:right="1259" w:firstLine="509"/>
        <w:spacing w:after="0" w:line="258" w:lineRule="auto"/>
        <w:rPr>
          <w:sz w:val="20"/>
          <w:szCs w:val="20"/>
          <w:color w:val="auto"/>
        </w:rPr>
      </w:pPr>
      <w:r>
        <w:rPr>
          <w:rFonts w:ascii="Times New Roman" w:cs="Times New Roman" w:eastAsia="Times New Roman" w:hAnsi="Times New Roman"/>
          <w:sz w:val="17"/>
          <w:szCs w:val="17"/>
          <w:color w:val="auto"/>
        </w:rPr>
        <w:t>WHEREAS, Rule 17d-1 of the 1940 Act, as applied by Section 57(i) to BDCs, requires the proposed premium for the joint liability insurance policy to be allocated to the investment company, based upon its share of the premiums that would have been paid if such insurance coverage were purchased separately, is fair and reasonable, and each Board, including a majority of the Independent Directors/Trustees, has determined this to be the case.</w:t>
      </w:r>
    </w:p>
    <w:p>
      <w:pPr>
        <w:spacing w:after="0" w:line="169" w:lineRule="exact"/>
        <w:rPr>
          <w:sz w:val="20"/>
          <w:szCs w:val="20"/>
          <w:color w:val="auto"/>
        </w:rPr>
      </w:pPr>
    </w:p>
    <w:p>
      <w:pPr>
        <w:ind w:left="1200" w:right="1319" w:firstLine="509"/>
        <w:spacing w:after="0" w:line="277" w:lineRule="auto"/>
        <w:rPr>
          <w:sz w:val="20"/>
          <w:szCs w:val="20"/>
          <w:color w:val="auto"/>
        </w:rPr>
      </w:pPr>
      <w:r>
        <w:rPr>
          <w:rFonts w:ascii="Times New Roman" w:cs="Times New Roman" w:eastAsia="Times New Roman" w:hAnsi="Times New Roman"/>
          <w:sz w:val="16"/>
          <w:szCs w:val="16"/>
          <w:color w:val="auto"/>
        </w:rPr>
        <w:t>NOW THEREFORE BE IT RESOLVED, that any Authorized Officers be, and each of them individually hereby is, authorized and directed by and on behalf of their respective Company to negotiate and execute the Insurance Policy, with such terms as any Authorized Officer shall approve (to the extent substantially similar to the summary of terms as provided herewith), such approval to be conclusively evidenced by the execution thereof; and it is further</w:t>
      </w:r>
    </w:p>
    <w:p>
      <w:pPr>
        <w:spacing w:after="0" w:line="169" w:lineRule="exact"/>
        <w:rPr>
          <w:sz w:val="20"/>
          <w:szCs w:val="20"/>
          <w:color w:val="auto"/>
        </w:rPr>
      </w:pPr>
    </w:p>
    <w:p>
      <w:pPr>
        <w:ind w:left="1200" w:right="1519" w:firstLine="509"/>
        <w:spacing w:after="0" w:line="254" w:lineRule="auto"/>
        <w:rPr>
          <w:sz w:val="20"/>
          <w:szCs w:val="20"/>
          <w:color w:val="auto"/>
        </w:rPr>
      </w:pPr>
      <w:r>
        <w:rPr>
          <w:rFonts w:ascii="Times New Roman" w:cs="Times New Roman" w:eastAsia="Times New Roman" w:hAnsi="Times New Roman"/>
          <w:sz w:val="17"/>
          <w:szCs w:val="17"/>
          <w:color w:val="auto"/>
        </w:rPr>
        <w:t>RESOLVED, that each Board, including a majority of the Independent Directors, has determined that the premiums for the Insurance Policy to be allocated to each respective Company, as presented to each respective Board, based upon its share of the premiums that would have been paid if such insurance coverage were purchased separately, is fair and reasonable.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General Authorizations</w:t>
      </w:r>
    </w:p>
    <w:p>
      <w:pPr>
        <w:spacing w:after="0" w:line="212" w:lineRule="exact"/>
        <w:rPr>
          <w:sz w:val="20"/>
          <w:szCs w:val="20"/>
          <w:color w:val="auto"/>
        </w:rPr>
      </w:pPr>
    </w:p>
    <w:p>
      <w:pPr>
        <w:ind w:left="1200" w:right="1259" w:firstLine="509"/>
        <w:spacing w:after="0" w:line="308" w:lineRule="auto"/>
        <w:rPr>
          <w:sz w:val="20"/>
          <w:szCs w:val="20"/>
          <w:color w:val="auto"/>
        </w:rPr>
      </w:pPr>
      <w:r>
        <w:rPr>
          <w:rFonts w:ascii="Times New Roman" w:cs="Times New Roman" w:eastAsia="Times New Roman" w:hAnsi="Times New Roman"/>
          <w:sz w:val="16"/>
          <w:szCs w:val="16"/>
          <w:color w:val="auto"/>
        </w:rPr>
        <w:t>RESOLVED, that this consent may be signed in two or more counterparts, each of which shall be deemed an original, and all of which shall be deemed one instrument; and it is further</w:t>
      </w:r>
    </w:p>
    <w:p>
      <w:pPr>
        <w:sectPr>
          <w:pgSz w:w="11900" w:h="16838" w:orient="portrait"/>
          <w:cols w:equalWidth="0" w:num="1">
            <w:col w:w="9019"/>
          </w:cols>
          <w:pgMar w:left="1440" w:top="151" w:right="1440" w:bottom="245"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1530" cy="76701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7670165"/>
                    </a:xfrm>
                    <a:prstGeom prst="rect">
                      <a:avLst/>
                    </a:prstGeom>
                    <a:noFill/>
                  </pic:spPr>
                </pic:pic>
              </a:graphicData>
            </a:graphic>
          </wp:anchor>
        </w:drawing>
      </w:r>
    </w:p>
    <w:p>
      <w:pPr>
        <w:spacing w:after="0" w:line="325" w:lineRule="exact"/>
        <w:rPr>
          <w:sz w:val="20"/>
          <w:szCs w:val="20"/>
          <w:color w:val="auto"/>
        </w:rPr>
      </w:pPr>
    </w:p>
    <w:p>
      <w:pPr>
        <w:ind w:left="1200" w:right="1299" w:firstLine="509"/>
        <w:spacing w:after="0" w:line="282" w:lineRule="auto"/>
        <w:rPr>
          <w:sz w:val="20"/>
          <w:szCs w:val="20"/>
          <w:color w:val="auto"/>
        </w:rPr>
      </w:pPr>
      <w:r>
        <w:rPr>
          <w:rFonts w:ascii="Times New Roman" w:cs="Times New Roman" w:eastAsia="Times New Roman" w:hAnsi="Times New Roman"/>
          <w:sz w:val="16"/>
          <w:szCs w:val="16"/>
          <w:color w:val="auto"/>
        </w:rPr>
        <w:t>RESOLVED, that any and all actions previously taken by each Company or any of its respective Directors, Authorized Officers or other employees in connection with the documents, and actions contemplated by the foregoing resolutions be, and they hereby are, confirmed, ratified, approved and adopted in all respects as and for the acts and deeds of such Company.</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pacing w:after="0" w:line="28" w:lineRule="exact"/>
        <w:rPr>
          <w:sz w:val="20"/>
          <w:szCs w:val="20"/>
          <w:color w:val="auto"/>
        </w:rPr>
      </w:pPr>
    </w:p>
    <w:p>
      <w:pPr>
        <w:ind w:left="1200" w:right="1499" w:firstLine="509"/>
        <w:spacing w:after="0" w:line="254" w:lineRule="auto"/>
        <w:rPr>
          <w:sz w:val="20"/>
          <w:szCs w:val="20"/>
          <w:color w:val="auto"/>
        </w:rPr>
      </w:pPr>
      <w:r>
        <w:rPr>
          <w:rFonts w:ascii="Times New Roman" w:cs="Times New Roman" w:eastAsia="Times New Roman" w:hAnsi="Times New Roman"/>
          <w:sz w:val="17"/>
          <w:szCs w:val="17"/>
          <w:color w:val="auto"/>
        </w:rPr>
        <w:t>IN WITNESS WHEREOF, the undersigned have executed this Consent as of the date first written above.</w:t>
      </w:r>
    </w:p>
    <w:p>
      <w:pPr>
        <w:spacing w:after="0" w:line="200" w:lineRule="exact"/>
        <w:rPr>
          <w:sz w:val="20"/>
          <w:szCs w:val="20"/>
          <w:color w:val="auto"/>
        </w:rPr>
      </w:pPr>
    </w:p>
    <w:p>
      <w:pPr>
        <w:spacing w:after="0" w:line="371" w:lineRule="exact"/>
        <w:rPr>
          <w:sz w:val="20"/>
          <w:szCs w:val="20"/>
          <w:color w:val="auto"/>
        </w:rPr>
      </w:pPr>
    </w:p>
    <w:tbl>
      <w:tblPr>
        <w:tblLayout w:type="fixed"/>
        <w:tblInd w:w="1200" w:type="dxa"/>
        <w:tblCellMar>
          <w:top w:w="0" w:type="dxa"/>
          <w:left w:w="0" w:type="dxa"/>
          <w:bottom w:w="0" w:type="dxa"/>
          <w:right w:w="0" w:type="dxa"/>
        </w:tblCellMar>
      </w:tblPr>
      <w:tr>
        <w:trPr>
          <w:trHeight w:val="195"/>
        </w:trPr>
        <w:tc>
          <w:tcPr>
            <w:tcW w:w="3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John G. Nestor _________</w:t>
            </w:r>
          </w:p>
        </w:tc>
        <w:tc>
          <w:tcPr>
            <w:tcW w:w="3060" w:type="dxa"/>
            <w:vAlign w:val="bottom"/>
            <w:gridSpan w:val="3"/>
          </w:tcPr>
          <w:p>
            <w:pPr>
              <w:ind w:left="1000"/>
              <w:spacing w:after="0"/>
              <w:rPr>
                <w:sz w:val="20"/>
                <w:szCs w:val="20"/>
                <w:color w:val="auto"/>
              </w:rPr>
            </w:pPr>
            <w:r>
              <w:rPr>
                <w:rFonts w:ascii="Times New Roman" w:cs="Times New Roman" w:eastAsia="Times New Roman" w:hAnsi="Times New Roman"/>
                <w:sz w:val="17"/>
                <w:szCs w:val="17"/>
                <w:color w:val="auto"/>
                <w:w w:val="98"/>
              </w:rPr>
              <w:t>/s/ Linda Pace_____________</w:t>
            </w:r>
          </w:p>
        </w:tc>
      </w:tr>
      <w:tr>
        <w:trPr>
          <w:trHeight w:val="20"/>
        </w:trPr>
        <w:tc>
          <w:tcPr>
            <w:tcW w:w="13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1"/>
        </w:trPr>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John G. Nestor</w:t>
            </w:r>
          </w:p>
        </w:tc>
        <w:tc>
          <w:tcPr>
            <w:tcW w:w="1780" w:type="dxa"/>
            <w:vAlign w:val="bottom"/>
          </w:tcPr>
          <w:p>
            <w:pPr>
              <w:spacing w:after="0"/>
              <w:rPr>
                <w:sz w:val="19"/>
                <w:szCs w:val="19"/>
                <w:color w:val="auto"/>
              </w:rPr>
            </w:pPr>
          </w:p>
        </w:tc>
        <w:tc>
          <w:tcPr>
            <w:tcW w:w="3060" w:type="dxa"/>
            <w:vAlign w:val="bottom"/>
            <w:gridSpan w:val="3"/>
          </w:tcPr>
          <w:p>
            <w:pPr>
              <w:ind w:left="1000"/>
              <w:spacing w:after="0"/>
              <w:rPr>
                <w:sz w:val="20"/>
                <w:szCs w:val="20"/>
                <w:color w:val="auto"/>
              </w:rPr>
            </w:pPr>
            <w:r>
              <w:rPr>
                <w:rFonts w:ascii="Times New Roman" w:cs="Times New Roman" w:eastAsia="Times New Roman" w:hAnsi="Times New Roman"/>
                <w:sz w:val="17"/>
                <w:szCs w:val="17"/>
                <w:color w:val="auto"/>
              </w:rPr>
              <w:t>Linda Pace</w:t>
            </w: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1200" w:type="dxa"/>
        <w:tblCellMar>
          <w:top w:w="0" w:type="dxa"/>
          <w:left w:w="0" w:type="dxa"/>
          <w:bottom w:w="0" w:type="dxa"/>
          <w:right w:w="0" w:type="dxa"/>
        </w:tblCellMar>
      </w:tblPr>
      <w:tr>
        <w:trPr>
          <w:trHeight w:val="195"/>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Thomas Hennigan_______</w:t>
            </w:r>
          </w:p>
        </w:tc>
        <w:tc>
          <w:tcPr>
            <w:tcW w:w="3020" w:type="dxa"/>
            <w:vAlign w:val="bottom"/>
            <w:gridSpan w:val="3"/>
          </w:tcPr>
          <w:p>
            <w:pPr>
              <w:ind w:left="1020"/>
              <w:spacing w:after="0"/>
              <w:rPr>
                <w:sz w:val="20"/>
                <w:szCs w:val="20"/>
                <w:color w:val="auto"/>
              </w:rPr>
            </w:pPr>
            <w:r>
              <w:rPr>
                <w:rFonts w:ascii="Times New Roman" w:cs="Times New Roman" w:eastAsia="Times New Roman" w:hAnsi="Times New Roman"/>
                <w:sz w:val="17"/>
                <w:szCs w:val="17"/>
                <w:color w:val="auto"/>
                <w:w w:val="98"/>
              </w:rPr>
              <w:t>/s/ Nigel D.T. Andrews_____</w:t>
            </w:r>
          </w:p>
        </w:tc>
      </w:tr>
      <w:tr>
        <w:trPr>
          <w:trHeight w:val="20"/>
        </w:trPr>
        <w:tc>
          <w:tcPr>
            <w:tcW w:w="14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2"/>
        </w:trPr>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Thomas Hennigan</w:t>
            </w:r>
          </w:p>
        </w:tc>
        <w:tc>
          <w:tcPr>
            <w:tcW w:w="1600" w:type="dxa"/>
            <w:vAlign w:val="bottom"/>
          </w:tcPr>
          <w:p>
            <w:pPr>
              <w:spacing w:after="0"/>
              <w:rPr>
                <w:sz w:val="20"/>
                <w:szCs w:val="20"/>
                <w:color w:val="auto"/>
              </w:rPr>
            </w:pPr>
          </w:p>
        </w:tc>
        <w:tc>
          <w:tcPr>
            <w:tcW w:w="3020" w:type="dxa"/>
            <w:vAlign w:val="bottom"/>
            <w:gridSpan w:val="3"/>
          </w:tcPr>
          <w:p>
            <w:pPr>
              <w:ind w:left="1020"/>
              <w:spacing w:after="0"/>
              <w:rPr>
                <w:sz w:val="20"/>
                <w:szCs w:val="20"/>
                <w:color w:val="auto"/>
              </w:rPr>
            </w:pPr>
            <w:r>
              <w:rPr>
                <w:rFonts w:ascii="Times New Roman" w:cs="Times New Roman" w:eastAsia="Times New Roman" w:hAnsi="Times New Roman"/>
                <w:sz w:val="17"/>
                <w:szCs w:val="17"/>
                <w:color w:val="auto"/>
              </w:rPr>
              <w:t>Nigel D.T. Andrews</w:t>
            </w: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1200" w:type="dxa"/>
        <w:tblCellMar>
          <w:top w:w="0" w:type="dxa"/>
          <w:left w:w="0" w:type="dxa"/>
          <w:bottom w:w="0" w:type="dxa"/>
          <w:right w:w="0" w:type="dxa"/>
        </w:tblCellMar>
      </w:tblPr>
      <w:tr>
        <w:trPr>
          <w:trHeight w:val="195"/>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Leslie E. Bradford_______</w:t>
            </w:r>
          </w:p>
        </w:tc>
        <w:tc>
          <w:tcPr>
            <w:tcW w:w="3040" w:type="dxa"/>
            <w:vAlign w:val="bottom"/>
            <w:gridSpan w:val="3"/>
          </w:tcPr>
          <w:p>
            <w:pPr>
              <w:ind w:left="1020"/>
              <w:spacing w:after="0"/>
              <w:rPr>
                <w:sz w:val="20"/>
                <w:szCs w:val="20"/>
                <w:color w:val="auto"/>
              </w:rPr>
            </w:pPr>
            <w:r>
              <w:rPr>
                <w:rFonts w:ascii="Times New Roman" w:cs="Times New Roman" w:eastAsia="Times New Roman" w:hAnsi="Times New Roman"/>
                <w:sz w:val="17"/>
                <w:szCs w:val="17"/>
                <w:color w:val="auto"/>
                <w:w w:val="98"/>
              </w:rPr>
              <w:t>/s/ William H. Wright II ____</w:t>
            </w:r>
          </w:p>
        </w:tc>
      </w:tr>
      <w:tr>
        <w:trPr>
          <w:trHeight w:val="20"/>
        </w:trPr>
        <w:tc>
          <w:tcPr>
            <w:tcW w:w="14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1"/>
        </w:trPr>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Leslie E. Bradford</w:t>
            </w:r>
          </w:p>
        </w:tc>
        <w:tc>
          <w:tcPr>
            <w:tcW w:w="1600" w:type="dxa"/>
            <w:vAlign w:val="bottom"/>
          </w:tcPr>
          <w:p>
            <w:pPr>
              <w:spacing w:after="0"/>
              <w:rPr>
                <w:sz w:val="19"/>
                <w:szCs w:val="19"/>
                <w:color w:val="auto"/>
              </w:rPr>
            </w:pPr>
          </w:p>
        </w:tc>
        <w:tc>
          <w:tcPr>
            <w:tcW w:w="3040" w:type="dxa"/>
            <w:vAlign w:val="bottom"/>
            <w:gridSpan w:val="3"/>
          </w:tcPr>
          <w:p>
            <w:pPr>
              <w:ind w:left="1020"/>
              <w:spacing w:after="0"/>
              <w:rPr>
                <w:sz w:val="20"/>
                <w:szCs w:val="20"/>
                <w:color w:val="auto"/>
              </w:rPr>
            </w:pPr>
            <w:r>
              <w:rPr>
                <w:rFonts w:ascii="Times New Roman" w:cs="Times New Roman" w:eastAsia="Times New Roman" w:hAnsi="Times New Roman"/>
                <w:sz w:val="17"/>
                <w:szCs w:val="17"/>
                <w:color w:val="auto"/>
              </w:rPr>
              <w:t>William H. Wright II</w:t>
            </w: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u w:val="single" w:color="auto"/>
          <w:color w:val="auto"/>
        </w:rPr>
        <w:t>/s/ Alex Chi</w:t>
      </w:r>
      <w:r>
        <w:rPr>
          <w:rFonts w:ascii="Times New Roman" w:cs="Times New Roman" w:eastAsia="Times New Roman" w:hAnsi="Times New Roman"/>
          <w:sz w:val="17"/>
          <w:szCs w:val="17"/>
          <w:color w:val="auto"/>
        </w:rPr>
        <w:t>______________</w:t>
      </w:r>
    </w:p>
    <w:p>
      <w:pPr>
        <w:spacing w:after="0" w:line="2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Alex Chi</w:t>
      </w:r>
    </w:p>
    <w:p>
      <w:pPr>
        <w:sectPr>
          <w:pgSz w:w="11900" w:h="16838" w:orient="portrait"/>
          <w:cols w:equalWidth="0" w:num="1">
            <w:col w:w="9019"/>
          </w:cols>
          <w:pgMar w:left="1440" w:top="1440" w:right="1440"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1530"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10515600"/>
                    </a:xfrm>
                    <a:prstGeom prst="rect">
                      <a:avLst/>
                    </a:prstGeom>
                    <a:noFill/>
                  </pic:spPr>
                </pic:pic>
              </a:graphicData>
            </a:graphic>
          </wp:anchor>
        </w:drawing>
        <w:t>JOINT ALLOCATION AGREEMENT</w:t>
      </w:r>
    </w:p>
    <w:p>
      <w:pPr>
        <w:spacing w:after="0" w:line="198" w:lineRule="exact"/>
        <w:rPr>
          <w:sz w:val="20"/>
          <w:szCs w:val="20"/>
          <w:color w:val="auto"/>
        </w:rPr>
      </w:pPr>
    </w:p>
    <w:p>
      <w:pPr>
        <w:ind w:left="1200" w:right="1199" w:firstLine="509"/>
        <w:spacing w:after="0" w:line="252" w:lineRule="auto"/>
        <w:rPr>
          <w:sz w:val="20"/>
          <w:szCs w:val="20"/>
          <w:color w:val="auto"/>
        </w:rPr>
      </w:pPr>
      <w:r>
        <w:rPr>
          <w:rFonts w:ascii="Times New Roman" w:cs="Times New Roman" w:eastAsia="Times New Roman" w:hAnsi="Times New Roman"/>
          <w:sz w:val="16"/>
          <w:szCs w:val="16"/>
          <w:color w:val="auto"/>
        </w:rPr>
        <w:t xml:space="preserve">THIS JOINT ALLOCATION AGREEMENT (this “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effective as of the 9th day of April, 2026, by and among Carlyle Secured Lending, Inc. and Carlyle Credit Solutions, Inc., each affiliates and business development companies that have elected or intend to elect to be regulated under the Investment Company Act of 1940, as amended (the “</w:t>
      </w:r>
      <w:r>
        <w:rPr>
          <w:rFonts w:ascii="Times New Roman" w:cs="Times New Roman" w:eastAsia="Times New Roman" w:hAnsi="Times New Roman"/>
          <w:sz w:val="16"/>
          <w:szCs w:val="16"/>
          <w:b w:val="1"/>
          <w:bCs w:val="1"/>
          <w:i w:val="1"/>
          <w:iCs w:val="1"/>
          <w:color w:val="auto"/>
        </w:rPr>
        <w:t>1940 Act</w:t>
      </w:r>
      <w:r>
        <w:rPr>
          <w:rFonts w:ascii="Times New Roman" w:cs="Times New Roman" w:eastAsia="Times New Roman" w:hAnsi="Times New Roman"/>
          <w:sz w:val="16"/>
          <w:szCs w:val="16"/>
          <w:color w:val="auto"/>
        </w:rPr>
        <w:t xml:space="preserve">”), and any subsidiaries thereof (each an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Insured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together, the “</w:t>
      </w:r>
      <w:r>
        <w:rPr>
          <w:rFonts w:ascii="Times New Roman" w:cs="Times New Roman" w:eastAsia="Times New Roman" w:hAnsi="Times New Roman"/>
          <w:sz w:val="16"/>
          <w:szCs w:val="16"/>
          <w:b w:val="1"/>
          <w:bCs w:val="1"/>
          <w:i w:val="1"/>
          <w:iCs w:val="1"/>
          <w:color w:val="auto"/>
        </w:rPr>
        <w:t>Insureds</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left="1200" w:right="1259" w:firstLine="509"/>
        <w:spacing w:after="0" w:line="248" w:lineRule="auto"/>
        <w:rPr>
          <w:sz w:val="20"/>
          <w:szCs w:val="20"/>
          <w:color w:val="auto"/>
        </w:rPr>
      </w:pPr>
      <w:r>
        <w:rPr>
          <w:rFonts w:ascii="Times New Roman" w:cs="Times New Roman" w:eastAsia="Times New Roman" w:hAnsi="Times New Roman"/>
          <w:sz w:val="16"/>
          <w:szCs w:val="16"/>
          <w:color w:val="auto"/>
        </w:rPr>
        <w:t>WHEREAS, pursuant to the requirements of Section 17(g) of the 1940 Act and Rule 17g-1 adopted thereunder (“</w:t>
      </w:r>
      <w:r>
        <w:rPr>
          <w:rFonts w:ascii="Times New Roman" w:cs="Times New Roman" w:eastAsia="Times New Roman" w:hAnsi="Times New Roman"/>
          <w:sz w:val="16"/>
          <w:szCs w:val="16"/>
          <w:b w:val="1"/>
          <w:bCs w:val="1"/>
          <w:i w:val="1"/>
          <w:iCs w:val="1"/>
          <w:color w:val="auto"/>
        </w:rPr>
        <w:t>Rule 17g-1</w:t>
      </w:r>
      <w:r>
        <w:rPr>
          <w:rFonts w:ascii="Times New Roman" w:cs="Times New Roman" w:eastAsia="Times New Roman" w:hAnsi="Times New Roman"/>
          <w:sz w:val="16"/>
          <w:szCs w:val="16"/>
          <w:color w:val="auto"/>
        </w:rPr>
        <w:t>”), which apply to a business development company pursuant to Section 59 of the 1940 Act, each Insured is required to maintain a bond issued by a reputable fidelity insurance company, authorized to do business in the place where the bond is issued, against larceny and embezzlement, covering certain officers and employees of the Insureds; and</w:t>
      </w:r>
    </w:p>
    <w:p>
      <w:pPr>
        <w:spacing w:after="0" w:line="163" w:lineRule="exact"/>
        <w:rPr>
          <w:sz w:val="20"/>
          <w:szCs w:val="20"/>
          <w:color w:val="auto"/>
        </w:rPr>
      </w:pPr>
    </w:p>
    <w:p>
      <w:pPr>
        <w:jc w:val="both"/>
        <w:ind w:left="1200" w:right="1419" w:firstLine="509"/>
        <w:spacing w:after="0" w:line="261" w:lineRule="auto"/>
        <w:rPr>
          <w:sz w:val="20"/>
          <w:szCs w:val="20"/>
          <w:color w:val="auto"/>
        </w:rPr>
      </w:pPr>
      <w:r>
        <w:rPr>
          <w:rFonts w:ascii="Times New Roman" w:cs="Times New Roman" w:eastAsia="Times New Roman" w:hAnsi="Times New Roman"/>
          <w:sz w:val="16"/>
          <w:szCs w:val="16"/>
          <w:color w:val="auto"/>
        </w:rPr>
        <w:t>WHEREAS, the Insureds propose entering into a joint bond with Berkley Regional Insurance Company, in accordance with Rule 17g-1 (such joint bond as proposed to be executed and as it may be amended from time to time, hereinafter, the “</w:t>
      </w:r>
      <w:r>
        <w:rPr>
          <w:rFonts w:ascii="Times New Roman" w:cs="Times New Roman" w:eastAsia="Times New Roman" w:hAnsi="Times New Roman"/>
          <w:sz w:val="16"/>
          <w:szCs w:val="16"/>
          <w:b w:val="1"/>
          <w:bCs w:val="1"/>
          <w:i w:val="1"/>
          <w:iCs w:val="1"/>
          <w:color w:val="auto"/>
        </w:rPr>
        <w:t>Bond</w:t>
      </w:r>
      <w:r>
        <w:rPr>
          <w:rFonts w:ascii="Times New Roman" w:cs="Times New Roman" w:eastAsia="Times New Roman" w:hAnsi="Times New Roman"/>
          <w:sz w:val="16"/>
          <w:szCs w:val="16"/>
          <w:color w:val="auto"/>
        </w:rPr>
        <w:t>”); and</w:t>
      </w:r>
    </w:p>
    <w:p>
      <w:pPr>
        <w:spacing w:after="0" w:line="153" w:lineRule="exact"/>
        <w:rPr>
          <w:sz w:val="20"/>
          <w:szCs w:val="20"/>
          <w:color w:val="auto"/>
        </w:rPr>
      </w:pPr>
    </w:p>
    <w:p>
      <w:pPr>
        <w:ind w:left="1200" w:right="1219" w:firstLine="509"/>
        <w:spacing w:after="0" w:line="254" w:lineRule="auto"/>
        <w:rPr>
          <w:sz w:val="20"/>
          <w:szCs w:val="20"/>
          <w:color w:val="auto"/>
        </w:rPr>
      </w:pPr>
      <w:r>
        <w:rPr>
          <w:rFonts w:ascii="Times New Roman" w:cs="Times New Roman" w:eastAsia="Times New Roman" w:hAnsi="Times New Roman"/>
          <w:sz w:val="16"/>
          <w:szCs w:val="16"/>
          <w:color w:val="auto"/>
        </w:rPr>
        <w:t>WHEREAS, the Insureds, in order to be covered jointly under the Bond, are required by Rule 17g-1 to be parties to an agreement that establishes the criteria by which the premiums and any recoveries under the Bond shall be allocated among them.</w:t>
      </w:r>
    </w:p>
    <w:p>
      <w:pPr>
        <w:spacing w:after="0" w:line="15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color w:val="auto"/>
        </w:rPr>
        <w:t>NOW, THEREFORE, it is agreed as follows:</w:t>
      </w:r>
    </w:p>
    <w:p>
      <w:pPr>
        <w:spacing w:after="0" w:line="187" w:lineRule="exact"/>
        <w:rPr>
          <w:sz w:val="20"/>
          <w:szCs w:val="20"/>
          <w:color w:val="auto"/>
        </w:rPr>
      </w:pPr>
    </w:p>
    <w:p>
      <w:pPr>
        <w:ind w:left="1200" w:right="1259" w:firstLine="508"/>
        <w:spacing w:after="0" w:line="286" w:lineRule="auto"/>
        <w:tabs>
          <w:tab w:leader="none" w:pos="222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Amount of Coverage Maintained</w:t>
      </w:r>
      <w:r>
        <w:rPr>
          <w:rFonts w:ascii="Times New Roman" w:cs="Times New Roman" w:eastAsia="Times New Roman" w:hAnsi="Times New Roman"/>
          <w:sz w:val="14"/>
          <w:szCs w:val="14"/>
          <w:color w:val="auto"/>
        </w:rPr>
        <w:t xml:space="preserve"> . The amount of fidelity coverage under the Bond shall at all times be at least equal to the sum of: (a) the total amount of coverage the Insured would have been required to provide and maintain individually pursuant to the schedule set forth in paragraph (d)(1) of Rule 17g-1 had the other not been a named insured under the Bond, plus (b) the amount of each bond which each other named Insured would have been required to provide and maintain pursuant to federal statutes or regulations had such Insured not been named as an insured under the Bond (such amounts, respectively, the “ </w:t>
      </w:r>
      <w:r>
        <w:rPr>
          <w:rFonts w:ascii="Times New Roman" w:cs="Times New Roman" w:eastAsia="Times New Roman" w:hAnsi="Times New Roman"/>
          <w:sz w:val="14"/>
          <w:szCs w:val="14"/>
          <w:b w:val="1"/>
          <w:bCs w:val="1"/>
          <w:i w:val="1"/>
          <w:iCs w:val="1"/>
          <w:color w:val="auto"/>
        </w:rPr>
        <w:t>minimum coverage requirement</w:t>
      </w:r>
      <w:r>
        <w:rPr>
          <w:rFonts w:ascii="Times New Roman" w:cs="Times New Roman" w:eastAsia="Times New Roman" w:hAnsi="Times New Roman"/>
          <w:sz w:val="14"/>
          <w:szCs w:val="14"/>
          <w:color w:val="auto"/>
        </w:rPr>
        <w:t xml:space="preserve"> ” for each Insured). The amount of fidelity coverage under the Bond shall be approved at least annually by the Board of Directors/Trustees of each Insured, including a majority of those directors/trustees who are not “interested persons” of the Insureds.</w:t>
      </w:r>
    </w:p>
    <w:p>
      <w:pPr>
        <w:spacing w:after="0" w:line="140" w:lineRule="exact"/>
        <w:rPr>
          <w:rFonts w:ascii="Times New Roman" w:cs="Times New Roman" w:eastAsia="Times New Roman" w:hAnsi="Times New Roman"/>
          <w:sz w:val="14"/>
          <w:szCs w:val="14"/>
          <w:color w:val="auto"/>
        </w:rPr>
      </w:pPr>
    </w:p>
    <w:p>
      <w:pPr>
        <w:ind w:left="1200" w:right="1279" w:firstLine="508"/>
        <w:spacing w:after="0" w:line="261" w:lineRule="auto"/>
        <w:tabs>
          <w:tab w:leader="none" w:pos="221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Allocation of Recovery</w:t>
      </w:r>
      <w:r>
        <w:rPr>
          <w:rFonts w:ascii="Times New Roman" w:cs="Times New Roman" w:eastAsia="Times New Roman" w:hAnsi="Times New Roman"/>
          <w:sz w:val="16"/>
          <w:szCs w:val="16"/>
          <w:color w:val="auto"/>
        </w:rPr>
        <w:t>. In the event an actual pecuniary loss is suffered by the Insureds under circumstances covered by the Bond, any recovery under the Bond shall be allocated among such Insureds as follows:</w:t>
      </w:r>
    </w:p>
    <w:p>
      <w:pPr>
        <w:spacing w:after="0" w:line="153" w:lineRule="exact"/>
        <w:rPr>
          <w:rFonts w:ascii="Times New Roman" w:cs="Times New Roman" w:eastAsia="Times New Roman" w:hAnsi="Times New Roman"/>
          <w:sz w:val="16"/>
          <w:szCs w:val="16"/>
          <w:color w:val="auto"/>
        </w:rPr>
      </w:pPr>
    </w:p>
    <w:p>
      <w:pPr>
        <w:ind w:left="1200" w:right="1339" w:firstLine="1018"/>
        <w:spacing w:after="0" w:line="254" w:lineRule="auto"/>
        <w:tabs>
          <w:tab w:leader="none" w:pos="2728"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total amount of coverage provided under the Bond exceeds or is equal to the amount of the combined total loss suffered by the Insureds suffering the loss, then each such Insured shall be entitled to recover the amount of its actual loss.</w:t>
      </w:r>
    </w:p>
    <w:p>
      <w:pPr>
        <w:spacing w:after="0" w:line="158" w:lineRule="exact"/>
        <w:rPr>
          <w:rFonts w:ascii="Times New Roman" w:cs="Times New Roman" w:eastAsia="Times New Roman" w:hAnsi="Times New Roman"/>
          <w:sz w:val="16"/>
          <w:szCs w:val="16"/>
          <w:color w:val="auto"/>
        </w:rPr>
      </w:pPr>
    </w:p>
    <w:p>
      <w:pPr>
        <w:ind w:left="1200" w:right="1199" w:firstLine="1018"/>
        <w:spacing w:after="0" w:line="290" w:lineRule="auto"/>
        <w:tabs>
          <w:tab w:leader="none" w:pos="2728"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amount of loss suffered by each Insured suffering loss exceeds its minimum coverage requirement as set forth in Section 1 hereof and the amount of such Insureds’ combined actual losses exceeds the total amount of coverage under the Bond, then each such Insured shall be entitled to recover (i) its minimum coverage requirement, and (ii) to the extent there exists any excess coverage, the proportion of such excess coverage that its minimum coverage requirement bears to the amount of the combined minimum coverage requirements of the Insureds suffering actual loss;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0" w:right="1299"/>
        <w:spacing w:after="0" w:line="346" w:lineRule="auto"/>
        <w:rPr>
          <w:sz w:val="20"/>
          <w:szCs w:val="20"/>
          <w:color w:val="auto"/>
        </w:rPr>
      </w:pPr>
      <w:r>
        <w:rPr>
          <w:rFonts w:ascii="Times New Roman" w:cs="Times New Roman" w:eastAsia="Times New Roman" w:hAnsi="Times New Roman"/>
          <w:sz w:val="14"/>
          <w:szCs w:val="14"/>
          <w:color w:val="auto"/>
        </w:rPr>
        <w:t>however, that if the actual loss of any such Insureds is less than the sum of (i) and (ii) above, then such difference shall be recoverable by the other Insured in proportion to its minimum coverage requirements.</w:t>
      </w:r>
    </w:p>
    <w:p>
      <w:pPr>
        <w:spacing w:after="0" w:line="98" w:lineRule="exact"/>
        <w:rPr>
          <w:sz w:val="20"/>
          <w:szCs w:val="20"/>
          <w:color w:val="auto"/>
        </w:rPr>
      </w:pPr>
    </w:p>
    <w:p>
      <w:pPr>
        <w:ind w:left="1200" w:right="1239" w:firstLine="1018"/>
        <w:spacing w:after="0" w:line="246" w:lineRule="auto"/>
        <w:tabs>
          <w:tab w:leader="none" w:pos="2728"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(i) the amount of actual loss suffered by any Insured is less than or equal to its minimum coverage requirement, (ii) the amount of actual loss of the other Insured exceeds its minimum coverage requirements, and (iii) the amount of the combined actual losses of the Insureds exceeds the total amount of coverage provided under the Bond, then any Insured that has suffered an amount of actual loss less than or equal to its minimum coverage requirement shall be entitled to recover its actual loss. The other Insured that has suffered actual loss shall be entitled to recover the remainder of the coverage under the Bond.</w:t>
      </w:r>
    </w:p>
    <w:p>
      <w:pPr>
        <w:spacing w:after="0" w:line="175" w:lineRule="exact"/>
        <w:rPr>
          <w:rFonts w:ascii="Times New Roman" w:cs="Times New Roman" w:eastAsia="Times New Roman" w:hAnsi="Times New Roman"/>
          <w:sz w:val="16"/>
          <w:szCs w:val="16"/>
          <w:color w:val="auto"/>
        </w:rPr>
      </w:pPr>
    </w:p>
    <w:p>
      <w:pPr>
        <w:ind w:left="1200" w:right="1239" w:firstLine="1018"/>
        <w:spacing w:after="0" w:line="254" w:lineRule="auto"/>
        <w:tabs>
          <w:tab w:leader="none" w:pos="2728"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foregoing, no Insured shall receive any recovery until each Insured has at least received at least the amount it would have received had it provided and maintained a single insured bond with each Insured’s minimum coverage requirements.</w:t>
      </w:r>
    </w:p>
    <w:p>
      <w:pPr>
        <w:spacing w:after="0" w:line="158" w:lineRule="exact"/>
        <w:rPr>
          <w:rFonts w:ascii="Times New Roman" w:cs="Times New Roman" w:eastAsia="Times New Roman" w:hAnsi="Times New Roman"/>
          <w:sz w:val="16"/>
          <w:szCs w:val="16"/>
          <w:color w:val="auto"/>
        </w:rPr>
      </w:pPr>
    </w:p>
    <w:p>
      <w:pPr>
        <w:ind w:left="1200" w:right="1319" w:firstLine="508"/>
        <w:spacing w:after="0" w:line="285" w:lineRule="auto"/>
        <w:tabs>
          <w:tab w:leader="none" w:pos="2219"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Allocation of Premiums</w:t>
      </w:r>
      <w:r>
        <w:rPr>
          <w:rFonts w:ascii="Times New Roman" w:cs="Times New Roman" w:eastAsia="Times New Roman" w:hAnsi="Times New Roman"/>
          <w:sz w:val="14"/>
          <w:szCs w:val="14"/>
          <w:color w:val="auto"/>
        </w:rPr>
        <w:t xml:space="preserve"> . The premium payable on the Fidelity Bond by each Insured shall be allocated in proportion to the amount of premium that would have been payable by each Insured had each Insured separately obtained a fidelity bond equal to the minimum bond required under Rule</w:t>
      </w:r>
    </w:p>
    <w:p>
      <w:pPr>
        <w:ind w:left="1200" w:right="1339"/>
        <w:spacing w:after="0" w:line="24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17g-1(d) based upon their respective gross assets, or projected assets with respect to a newly established Insured.</w:t>
      </w:r>
    </w:p>
    <w:p>
      <w:pPr>
        <w:spacing w:after="0" w:line="176" w:lineRule="exact"/>
        <w:rPr>
          <w:rFonts w:ascii="Times New Roman" w:cs="Times New Roman" w:eastAsia="Times New Roman" w:hAnsi="Times New Roman"/>
          <w:sz w:val="14"/>
          <w:szCs w:val="14"/>
          <w:color w:val="auto"/>
        </w:rPr>
      </w:pPr>
    </w:p>
    <w:p>
      <w:pPr>
        <w:ind w:left="2220" w:hanging="512"/>
        <w:spacing w:after="0"/>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This Agreement may not be modified or amended in any manner except by</w:t>
      </w:r>
    </w:p>
    <w:p>
      <w:pPr>
        <w:sectPr>
          <w:pgSz w:w="11900" w:h="16838" w:orient="portrait"/>
          <w:cols w:equalWidth="0" w:num="1">
            <w:col w:w="9019"/>
          </w:cols>
          <w:pgMar w:left="1440" w:top="1106" w:right="1440" w:bottom="0" w:gutter="0" w:footer="0" w:header="0"/>
        </w:sectPr>
      </w:pPr>
    </w:p>
    <w:bookmarkStart w:id="50" w:name="page51"/>
    <w:bookmarkEnd w:id="50"/>
    <w:p>
      <w:pPr>
        <w:ind w:left="1200"/>
        <w:spacing w:after="0"/>
        <w:rPr>
          <w:sz w:val="20"/>
          <w:szCs w:val="20"/>
          <w:color w:val="auto"/>
        </w:rPr>
      </w:pPr>
      <w:r>
        <w:rPr>
          <w:rFonts w:ascii="Times New Roman" w:cs="Times New Roman" w:eastAsia="Times New Roman" w:hAnsi="Times New Roman"/>
          <w:sz w:val="16"/>
          <w:szCs w:val="16"/>
          <w:color w:val="auto"/>
        </w:rPr>
        <w:t>written agreement executed by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-84455</wp:posOffset>
            </wp:positionV>
            <wp:extent cx="7161530" cy="3803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3803015"/>
                    </a:xfrm>
                    <a:prstGeom prst="rect">
                      <a:avLst/>
                    </a:prstGeom>
                    <a:noFill/>
                  </pic:spPr>
                </pic:pic>
              </a:graphicData>
            </a:graphic>
          </wp:anchor>
        </w:drawing>
      </w:r>
    </w:p>
    <w:p>
      <w:pPr>
        <w:spacing w:after="0" w:line="61" w:lineRule="exact"/>
        <w:rPr>
          <w:sz w:val="20"/>
          <w:szCs w:val="20"/>
          <w:color w:val="auto"/>
        </w:rPr>
      </w:pPr>
    </w:p>
    <w:p>
      <w:pPr>
        <w:ind w:left="1200" w:right="1319" w:firstLine="508"/>
        <w:spacing w:after="0" w:line="346" w:lineRule="auto"/>
        <w:tabs>
          <w:tab w:leader="none" w:pos="2219"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Filing with the Commission</w:t>
      </w:r>
      <w:r>
        <w:rPr>
          <w:rFonts w:ascii="Times New Roman" w:cs="Times New Roman" w:eastAsia="Times New Roman" w:hAnsi="Times New Roman"/>
          <w:sz w:val="14"/>
          <w:szCs w:val="14"/>
          <w:color w:val="auto"/>
        </w:rPr>
        <w:t xml:space="preserve"> . A copy of this Agreement, and any amendment thereto, shall be filed with the SEC within 10 days after receipt by the Insureds of an executed copy of the Bond.</w:t>
      </w:r>
    </w:p>
    <w:p>
      <w:pPr>
        <w:spacing w:after="0" w:line="98" w:lineRule="exact"/>
        <w:rPr>
          <w:rFonts w:ascii="Times New Roman" w:cs="Times New Roman" w:eastAsia="Times New Roman" w:hAnsi="Times New Roman"/>
          <w:sz w:val="14"/>
          <w:szCs w:val="14"/>
          <w:color w:val="auto"/>
        </w:rPr>
      </w:pPr>
    </w:p>
    <w:p>
      <w:pPr>
        <w:ind w:left="1200" w:right="1819" w:firstLine="508"/>
        <w:spacing w:after="0" w:line="273" w:lineRule="auto"/>
        <w:tabs>
          <w:tab w:leader="none" w:pos="221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xml:space="preserve"> . This Agreement shall be construed and the provisions thereof interpreted under and in accordance with the laws of the State of New York.</w:t>
      </w:r>
    </w:p>
    <w:p>
      <w:pPr>
        <w:spacing w:after="0" w:line="144" w:lineRule="exact"/>
        <w:rPr>
          <w:sz w:val="20"/>
          <w:szCs w:val="20"/>
          <w:color w:val="auto"/>
        </w:rPr>
      </w:pPr>
    </w:p>
    <w:p>
      <w:pPr>
        <w:ind w:left="1200" w:right="1259" w:firstLine="509"/>
        <w:spacing w:after="0" w:line="273" w:lineRule="auto"/>
        <w:rPr>
          <w:sz w:val="20"/>
          <w:szCs w:val="20"/>
          <w:color w:val="auto"/>
        </w:rPr>
      </w:pPr>
      <w:r>
        <w:rPr>
          <w:rFonts w:ascii="Times New Roman" w:cs="Times New Roman" w:eastAsia="Times New Roman" w:hAnsi="Times New Roman"/>
          <w:sz w:val="16"/>
          <w:szCs w:val="16"/>
          <w:color w:val="auto"/>
        </w:rPr>
        <w:t>IN WITNESS WHEREOF, the Insureds have caused this Agreement to be executed as of the day and year first written above.</w:t>
      </w:r>
    </w:p>
    <w:p>
      <w:pPr>
        <w:spacing w:after="0" w:line="200" w:lineRule="exact"/>
        <w:rPr>
          <w:sz w:val="20"/>
          <w:szCs w:val="20"/>
          <w:color w:val="auto"/>
        </w:rPr>
      </w:pPr>
    </w:p>
    <w:p>
      <w:pPr>
        <w:spacing w:after="0" w:line="31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Carlyle Secured Lending, Inc.</w:t>
      </w:r>
    </w:p>
    <w:p>
      <w:pPr>
        <w:sectPr>
          <w:pgSz w:w="11900" w:h="16838" w:orient="portrait"/>
          <w:cols w:equalWidth="0" w:num="1">
            <w:col w:w="9019"/>
          </w:cols>
          <w:pgMar w:left="1440" w:top="90" w:right="1440" w:bottom="1440" w:gutter="0" w:footer="0" w:header="0"/>
        </w:sectPr>
      </w:pPr>
    </w:p>
    <w:p>
      <w:pPr>
        <w:spacing w:after="0" w:line="18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/s/ Alex Chi</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Alex Chi, Chief Executive Officer</w:t>
      </w:r>
    </w:p>
    <w:p>
      <w:pPr>
        <w:spacing w:after="0" w:line="199" w:lineRule="exact"/>
        <w:rPr>
          <w:sz w:val="20"/>
          <w:szCs w:val="20"/>
          <w:color w:val="auto"/>
        </w:rPr>
      </w:pPr>
    </w:p>
    <w:p>
      <w:pPr>
        <w:sectPr>
          <w:pgSz w:w="11900" w:h="16838" w:orient="portrait"/>
          <w:cols w:equalWidth="0" w:num="2">
            <w:col w:w="1420" w:space="60"/>
            <w:col w:w="7539"/>
          </w:cols>
          <w:pgMar w:left="1440" w:top="90" w:right="1440"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4"/>
          <w:szCs w:val="14"/>
          <w:color w:val="auto"/>
        </w:rPr>
        <w:t>Carlyle Credit Solutions, Inc.</w:t>
      </w:r>
    </w:p>
    <w:p>
      <w:pPr>
        <w:sectPr>
          <w:pgSz w:w="11900" w:h="16838" w:orient="portrait"/>
          <w:cols w:equalWidth="0" w:num="1">
            <w:col w:w="9019"/>
          </w:cols>
          <w:pgMar w:left="1440" w:top="90" w:right="1440" w:bottom="1440" w:gutter="0" w:footer="0" w:header="0"/>
          <w:type w:val="continuous"/>
        </w:sectPr>
      </w:pPr>
    </w:p>
    <w:p>
      <w:pPr>
        <w:spacing w:after="0" w:line="21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/s/ Alex Chi</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Alex Chi, Chief Executive Officer</w:t>
      </w:r>
    </w:p>
    <w:sectPr>
      <w:pgSz w:w="11900" w:h="16838" w:orient="portrait"/>
      <w:cols w:equalWidth="0" w:num="2">
        <w:col w:w="1420" w:space="60"/>
        <w:col w:w="7539"/>
      </w:cols>
      <w:pgMar w:left="1440" w:top="9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lowerLetter"/>
      <w:start w:val="5"/>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3"/>
    </w:lvl>
  </w:abstractNum>
  <w:abstractNum w:abstractNumId="4">
    <w:nsid w:val="3D1B58BA"/>
    <w:multiLevelType w:val="hybridMultilevel"/>
    <w:lvl w:ilvl="0">
      <w:lvlJc w:val="left"/>
      <w:lvlText w:val="%1."/>
      <w:numFmt w:val="decimal"/>
      <w:start w:val="3"/>
    </w:lvl>
    <w:lvl w:ilvl="1">
      <w:lvlJc w:val="left"/>
      <w:lvlText w:val="%2"/>
      <w:numFmt w:val="lowerLetter"/>
      <w:start w:val="1"/>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2026-06-02T15:11:02Z</dcterms:created>
  <dcterms:modified xsi:type="dcterms:W3CDTF">2026-06-02T15:11:02Z</dcterms:modified>
</cp:coreProperties>
</file>