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
        <w:spacing w:after="0"/>
        <w:rPr>
          <w:sz w:val="20"/>
          <w:szCs w:val="20"/>
          <w:color w:val="auto"/>
        </w:rPr>
      </w:pPr>
      <w:r>
        <w:rPr>
          <w:rFonts w:ascii="Times New Roman" w:cs="Times New Roman" w:eastAsia="Times New Roman" w:hAnsi="Times New Roman"/>
          <w:sz w:val="18"/>
          <w:szCs w:val="18"/>
          <w:color w:val="auto"/>
        </w:rPr>
        <w:t>File No. 812-15275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5709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Before the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5709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the Matter of the Application of:</w:t>
      </w:r>
    </w:p>
    <w:p>
      <w:pPr>
        <w:spacing w:after="0" w:line="225" w:lineRule="exact"/>
        <w:rPr>
          <w:sz w:val="24"/>
          <w:szCs w:val="24"/>
          <w:color w:val="auto"/>
        </w:rPr>
      </w:pPr>
    </w:p>
    <w:p>
      <w:pPr>
        <w:jc w:val="center"/>
        <w:ind w:left="20" w:right="39"/>
        <w:spacing w:after="0" w:line="268" w:lineRule="auto"/>
        <w:rPr>
          <w:sz w:val="20"/>
          <w:szCs w:val="20"/>
          <w:color w:val="auto"/>
        </w:rPr>
      </w:pPr>
      <w:r>
        <w:rPr>
          <w:rFonts w:ascii="Times New Roman" w:cs="Times New Roman" w:eastAsia="Times New Roman" w:hAnsi="Times New Roman"/>
          <w:sz w:val="17"/>
          <w:szCs w:val="17"/>
          <w:color w:val="auto"/>
        </w:rPr>
        <w:t>CARLYLE SECURED LENDING, INC., CARLYLE CREDIT SOLUTIONS, INC., TCG BDC SPV LLC, CARLYLE CREDIT SOLUTIONS SPV LLC, CARLYLE CREDIT SOLUTIONS SPV 2 LLC, CARLYLE DIRECT LENDING CLO 2015-1R LLC, CARLYLE SECURED LENDING III, OCPC CREDIT FACILITY SPV LLC, CARLYLE TACTICAL PRIVATE CREDIT FUND, CARLYLE GLOBAL CREDIT INVESTMENT MANAGEMENT L.L.C., CSL III ADVISOR, LLC, CARLYLE CLO MANAGEMENT L.L.C., MC UNI LLC, MC UNI SUBSIDIARY LLC, MC UNI SUBSIDIARY II (BLOCKER) LLC, CPC V, LP, CPC V SPV LLC, CDL 2018-1, L.L.C., CDL 2018-1 SPV LLC, CDL 2018-2, L.P.,</w:t>
      </w:r>
    </w:p>
    <w:p>
      <w:pPr>
        <w:spacing w:after="0" w:line="5" w:lineRule="exact"/>
        <w:rPr>
          <w:sz w:val="24"/>
          <w:szCs w:val="24"/>
          <w:color w:val="auto"/>
        </w:rPr>
      </w:pPr>
    </w:p>
    <w:p>
      <w:pPr>
        <w:jc w:val="center"/>
        <w:ind w:left="20" w:right="39"/>
        <w:spacing w:after="0" w:line="265" w:lineRule="auto"/>
        <w:rPr>
          <w:sz w:val="20"/>
          <w:szCs w:val="20"/>
          <w:color w:val="auto"/>
        </w:rPr>
      </w:pPr>
      <w:r>
        <w:rPr>
          <w:rFonts w:ascii="Times New Roman" w:cs="Times New Roman" w:eastAsia="Times New Roman" w:hAnsi="Times New Roman"/>
          <w:sz w:val="17"/>
          <w:szCs w:val="17"/>
          <w:color w:val="auto"/>
        </w:rPr>
        <w:t>CARLYLE ONTARIO CREDIT PARTNERSHIP, L.P., CARLYLE ONTARIO CREDIT SLP L.L.C., CARLYLE ONTARIO CREDIT SPECIAL LIMITED PARTNER, L.P., CARLYLE SKYLINE CREDIT FUND, L.P., CDL 2020-3, L.L.C., CARLYLE CLO FUND, L.P., CARLYLE GLOBAL MARKET STRATEGIES CLO 2012-3, LTD., CARLYLE GLOBAL MARKET STRATEGIES CLO 2012-4, LTD., CARLYLE GLOBAL MARKET STRATEGIES CLO 2013-1, LTD., CARLYLE GLOBAL MARKET STRATEGIES CLO 2013-2, LTD., CARLYLE GLOBAL MARKET STRATEGIES CLO</w:t>
      </w:r>
    </w:p>
    <w:p>
      <w:pPr>
        <w:spacing w:after="0" w:line="1" w:lineRule="exact"/>
        <w:rPr>
          <w:sz w:val="24"/>
          <w:szCs w:val="24"/>
          <w:color w:val="auto"/>
        </w:rPr>
      </w:pPr>
    </w:p>
    <w:p>
      <w:pPr>
        <w:jc w:val="center"/>
        <w:ind w:left="20" w:right="39"/>
        <w:spacing w:after="0" w:line="265" w:lineRule="auto"/>
        <w:rPr>
          <w:sz w:val="20"/>
          <w:szCs w:val="20"/>
          <w:color w:val="auto"/>
        </w:rPr>
      </w:pPr>
      <w:r>
        <w:rPr>
          <w:rFonts w:ascii="Times New Roman" w:cs="Times New Roman" w:eastAsia="Times New Roman" w:hAnsi="Times New Roman"/>
          <w:sz w:val="17"/>
          <w:szCs w:val="17"/>
          <w:color w:val="auto"/>
        </w:rPr>
        <w:t>2013-3, LTD., CARLYLE GLOBAL MARKET STRATEGIES CLO 2013-4, LTD., CARLYLE GLOBAL MARKET STRATEGIES CLO 2014-1, LTD., CARLYLE GLOBAL MARKET STRATEGIES CLO 2014-2-R, LTD., CARLYLE GLOBAL MARKET STRATEGIES CLO 2014-3-R, LTD, CARLYLE GLOBAL MARKET STRATEGIES CLO 2014-4-R,</w:t>
      </w:r>
    </w:p>
    <w:p>
      <w:pPr>
        <w:jc w:val="center"/>
        <w:ind w:left="20" w:right="19"/>
        <w:spacing w:after="0" w:line="265" w:lineRule="auto"/>
        <w:rPr>
          <w:sz w:val="20"/>
          <w:szCs w:val="20"/>
          <w:color w:val="auto"/>
        </w:rPr>
      </w:pPr>
      <w:r>
        <w:rPr>
          <w:rFonts w:ascii="Times New Roman" w:cs="Times New Roman" w:eastAsia="Times New Roman" w:hAnsi="Times New Roman"/>
          <w:sz w:val="17"/>
          <w:szCs w:val="17"/>
          <w:color w:val="auto"/>
        </w:rPr>
        <w:t>LTD., CARLYLE GLOBAL MARKET STRATEGIES CLO 2014-5, LTD., CARLYLE GLOBAL MARKET STRATEGIES CLO 2015-1, LTD., CARLYLE GLOBAL MARKET STRATEGIES CLO 2015-2, LTD., CARLYLE GLOBAL MARKET STRATEGIES CLO 2015-3, LTD., CARLYLE GLOBAL MARKET STRATEGIES CLO 2015-4, LTD., CARLYLE GLOBAL MARKET STRATEGIES CLO 2015-5, LTD., CARLYLE GLOBAL MARKET STRATEGIES CLO 2016-1,</w:t>
      </w:r>
    </w:p>
    <w:p>
      <w:pPr>
        <w:spacing w:after="0" w:line="1" w:lineRule="exact"/>
        <w:rPr>
          <w:sz w:val="24"/>
          <w:szCs w:val="24"/>
          <w:color w:val="auto"/>
        </w:rPr>
      </w:pPr>
    </w:p>
    <w:p>
      <w:pPr>
        <w:jc w:val="center"/>
        <w:ind w:left="20" w:right="19"/>
        <w:spacing w:after="0" w:line="265" w:lineRule="auto"/>
        <w:rPr>
          <w:sz w:val="20"/>
          <w:szCs w:val="20"/>
          <w:color w:val="auto"/>
        </w:rPr>
      </w:pPr>
      <w:r>
        <w:rPr>
          <w:rFonts w:ascii="Times New Roman" w:cs="Times New Roman" w:eastAsia="Times New Roman" w:hAnsi="Times New Roman"/>
          <w:sz w:val="17"/>
          <w:szCs w:val="17"/>
          <w:color w:val="auto"/>
        </w:rPr>
        <w:t>LTD., CARLYLE GLOBAL MARKET STRATEGIES CLO 2016-2, LTD., CARLYLE GLOBAL MARKET STRATEGIES CLO 2016-3, LTD., CARLYLE US CLO 2016-4, LTD., CARLYLE US CLO 2017-1, LTD., CARLYLE US CLO 2017-2, LTD., CARLYLE US CLO 2017-3, LTD., CARLYLE US CLO 2017-4, LTD., CARLYLE US CLO 2017-5, LTD., CARLYLE US CLO 2018-1, LTD., CARLYLE US CLO 2018-2, LTD., CARLYLE US CLO 2018-3, LTD., CARLYLE US CLO 2018-4, LTD., CARLYLE US CLO 2019-1, LTD., CARLYLE US CLO 2019-2, LTD., CARLYLE US CLO 2019-3, LTD., CARLYLE US CLO 2019-4, LTD., CARLYLE US CLO 2020-1, LTD., CARLYLE US CLO 2020-A, LTD., CARLYLE STRUCTURED CREDIT FUND, L.P., CARLYLE C17 CLO, LTD., CARLYLE US CLO 2020-2, LTD.,</w:t>
      </w:r>
    </w:p>
    <w:p>
      <w:pPr>
        <w:spacing w:after="0" w:line="1" w:lineRule="exact"/>
        <w:rPr>
          <w:sz w:val="24"/>
          <w:szCs w:val="24"/>
          <w:color w:val="auto"/>
        </w:rPr>
      </w:pPr>
    </w:p>
    <w:p>
      <w:pPr>
        <w:jc w:val="center"/>
        <w:ind w:left="20" w:right="39"/>
        <w:spacing w:after="0" w:line="265" w:lineRule="auto"/>
        <w:rPr>
          <w:sz w:val="20"/>
          <w:szCs w:val="20"/>
          <w:color w:val="auto"/>
        </w:rPr>
      </w:pPr>
      <w:r>
        <w:rPr>
          <w:rFonts w:ascii="Times New Roman" w:cs="Times New Roman" w:eastAsia="Times New Roman" w:hAnsi="Times New Roman"/>
          <w:sz w:val="17"/>
          <w:szCs w:val="17"/>
          <w:color w:val="auto"/>
        </w:rPr>
        <w:t>CARLYLE US CLO 2021-A, LTD., CARLYLE STRUCTURED CREDIT COINVESTMENT, L.P., CARLYLE ENERGY MEZZANINE OPPORTUNITIES FUND II, L.P., CARLYLE ENERGY MEZZANINE OPPORTUNITIES FUND II-A, L.P., CEMOF II COINVESTMENT, L.P., CEMOF II MASTER CO-INVESTMENT PARTNERS, L.P., CEMOF II MASTER CO-INVESTMENT PARTNERS AIV ONE, L.P., CEMOF II MASTER CO-INVESTMENT PARTNERS AIV, L.P., CEMOF-A COINVESTMENT PARTNERS, L.P., CEMOF II AIV, L.P., CEMOF II AIV ONE, L.P., CEMOF II AIV TWO, L.P., CEMOF II AIV THREE, L.P., CEMOF II AIV FOUR, L.P., CEMOF II-A AIV, L.P., CEMOF II-A AIV ONE, L.P., CEMOF II-A AIV TWO, L.P., CEMOF II-A AIV THREE, L.P., CEMOF II-A AIV FOUR, L.P., CEMOF II OFFSHORE INVESTORS, L.P., CARLYLE CREDIT OPPORTUNITIES FUND (PARALLEL), L.P., CARLYLE CREDIT OPPORTUNITIES FUND, L.P., CCOF CAYMAN, L.P., CCOF CO-INVESTMENT, L.P., CCOF NORTH CO-INVESTMENT, L.P., CARLYLE CREDIT OPPORTUNITIES FUND NOTE ISSUER, L.P., CARLYLE CREDIT OPPORTUNITIES FUND (PARALLEL) NOTE ISSUER, L.P., CCOF GEM CO-INVESTMENT, L.P., CCOF MASTER CAYMAN GEM CO-INVESTMENT, LTD., CCOF ONSHORE CO-BORROWER LLC, CCOF MASTER CAYMAN, LTD., CCOF S.à r.l., CCOF MASTER S.à r.l., GC LION S.à r.l., CCOF SPV I S.à r.l., CCOF MADISON JV S.a r.l., GC ORANGE S.à r.l., CCOF MASTER CO-INVESTMENT S.à r.l., CCOF CO-INVESTMENT S.à r.l., CCOF MAIN SPV,</w:t>
      </w:r>
    </w:p>
    <w:p>
      <w:pPr>
        <w:spacing w:after="0" w:line="2" w:lineRule="exact"/>
        <w:rPr>
          <w:sz w:val="24"/>
          <w:szCs w:val="24"/>
          <w:color w:val="auto"/>
        </w:rPr>
      </w:pPr>
    </w:p>
    <w:p>
      <w:pPr>
        <w:jc w:val="center"/>
        <w:ind w:left="20" w:right="39"/>
        <w:spacing w:after="0" w:line="265" w:lineRule="auto"/>
        <w:rPr>
          <w:sz w:val="20"/>
          <w:szCs w:val="20"/>
          <w:color w:val="auto"/>
        </w:rPr>
      </w:pPr>
      <w:r>
        <w:rPr>
          <w:rFonts w:ascii="Times New Roman" w:cs="Times New Roman" w:eastAsia="Times New Roman" w:hAnsi="Times New Roman"/>
          <w:sz w:val="17"/>
          <w:szCs w:val="17"/>
          <w:color w:val="auto"/>
        </w:rPr>
        <w:t>L.P., CARLYLE TANGO RE CREDIT, L.P., CARLYLE CREDIT OPPORTUNITIES FUND II, L.P., CARLYLE CREDIT OPPORTUNITIES FUND (PARALLEL) II, SCSp, CARLYLE CREDIT OPPORTUNITIES FUND II NOTE ISSUER, L.P., CCOF II LUX FEEDER, SCSp, CARLYLE CREDIT OPPORTUNITIES FUND (PARALLEL) II NOTE ISSUER, L.P.,</w:t>
      </w:r>
    </w:p>
    <w:p>
      <w:pPr>
        <w:jc w:val="center"/>
        <w:ind w:left="20" w:right="39"/>
        <w:spacing w:after="0" w:line="265" w:lineRule="auto"/>
        <w:rPr>
          <w:sz w:val="20"/>
          <w:szCs w:val="20"/>
          <w:color w:val="auto"/>
        </w:rPr>
      </w:pPr>
      <w:r>
        <w:rPr>
          <w:rFonts w:ascii="Times New Roman" w:cs="Times New Roman" w:eastAsia="Times New Roman" w:hAnsi="Times New Roman"/>
          <w:sz w:val="17"/>
          <w:szCs w:val="17"/>
          <w:color w:val="auto"/>
        </w:rPr>
        <w:t>CCOF II CO-INVESTMENT, L.P., CCOF II MASTER, L.P., CCOF II MASTER CAYMAN, LTD., CCOF II ONSHORE SPV, L.P., CCOF II MASTER S.à r.l., CCOF II SPV S.à r.l., CCOF MASTER, L.P., CCOF PARALLEL AIV, L.P., CCOF PARALLEL AIV INVESTORS, L.L.C., CARLYLE STRATEGIC PARTNERS IV, L.P., CSP IV COINVESTMENT, L.P., CSP IV COINVESTMENT (CAYMAN), L.P., CSP IV (CAYMAN 1), L.P., CSP IV ACQUISITIONS, L.P., CSP IV S-1 AIV, L.P., CSP IV S-1A AIV, L.P., CSP IV S-1B AIV, L.P., CREDIT ACQUISITIONS (CAYMAN-3), L.P., CSP IV ARF (CAYMAN 3), L.P., CSP IV (CAYMAN 2), L.P., CSP IV (CAYMAN 3), L.P., CARLYLE CLOVER PARTNERS, L.P.,</w:t>
      </w:r>
    </w:p>
    <w:p>
      <w:pPr>
        <w:spacing w:after="0" w:line="1" w:lineRule="exact"/>
        <w:rPr>
          <w:sz w:val="24"/>
          <w:szCs w:val="24"/>
          <w:color w:val="auto"/>
        </w:rPr>
      </w:pPr>
    </w:p>
    <w:p>
      <w:pPr>
        <w:jc w:val="center"/>
        <w:ind w:left="20" w:right="39"/>
        <w:spacing w:after="0" w:line="265" w:lineRule="auto"/>
        <w:rPr>
          <w:sz w:val="20"/>
          <w:szCs w:val="20"/>
          <w:color w:val="auto"/>
        </w:rPr>
      </w:pPr>
      <w:r>
        <w:rPr>
          <w:rFonts w:ascii="Times New Roman" w:cs="Times New Roman" w:eastAsia="Times New Roman" w:hAnsi="Times New Roman"/>
          <w:sz w:val="17"/>
          <w:szCs w:val="17"/>
          <w:color w:val="auto"/>
        </w:rPr>
        <w:t>CARLYLE CLOVER PARTNERS 2, L.P., TCG CAPITAL MARKETS L.L.C., TCG SENIOR FUNDING L.L.C., CARLYLE REVOLVING LOAN FUND, L.P., CREV COINVESTMENT, L.P., CREV CAYMAN, L.P., CLOVER FINANCING SPV, L.P., CARLYLE INFRASTRUCTURE CREDIT FUND, L.P., CARLYLE BRAVO OPPORTUNISTIC CREDIT PARTNERSHIP, L.P., CARLYLE BRAVO OPPORTUNISTIC CREDIT FEEDER, L.P., CELF ADVISORS LLP, CARLYLE EURO CLO 2013-1 DAC, CARLYLE GLOBAL MARKET STRATEGIES EURO CLO 2014-1 DAC,</w:t>
      </w:r>
    </w:p>
    <w:p>
      <w:pPr>
        <w:spacing w:after="0" w:line="1" w:lineRule="exact"/>
        <w:rPr>
          <w:sz w:val="24"/>
          <w:szCs w:val="24"/>
          <w:color w:val="auto"/>
        </w:rPr>
      </w:pPr>
    </w:p>
    <w:p>
      <w:pPr>
        <w:jc w:val="center"/>
        <w:ind w:left="20" w:right="39"/>
        <w:spacing w:after="0" w:line="250" w:lineRule="auto"/>
        <w:rPr>
          <w:sz w:val="20"/>
          <w:szCs w:val="20"/>
          <w:color w:val="auto"/>
        </w:rPr>
      </w:pPr>
      <w:r>
        <w:rPr>
          <w:rFonts w:ascii="Times New Roman" w:cs="Times New Roman" w:eastAsia="Times New Roman" w:hAnsi="Times New Roman"/>
          <w:sz w:val="18"/>
          <w:szCs w:val="18"/>
          <w:color w:val="auto"/>
        </w:rPr>
        <w:t>CARLYLE GLOBAL MARKET STRATEGIES EURO CLO 2014-2 DAC, CARLYLE GLOBAL MARKET STRATEGIES EURO CLO 2014-3 DAC, CARLYLE GLOBAL MARKET STRATEGIES EURO CLO 2015-1 DAC, CARLYLE GLOBAL MARKET STRATEGIES EURO CLO 2015-2 DAC, CARLYLE GLOBAL MARKET</w:t>
      </w:r>
    </w:p>
    <w:p>
      <w:pPr>
        <w:spacing w:after="0" w:line="1" w:lineRule="exact"/>
        <w:rPr>
          <w:sz w:val="24"/>
          <w:szCs w:val="24"/>
          <w:color w:val="auto"/>
        </w:rPr>
      </w:pPr>
    </w:p>
    <w:p>
      <w:pPr>
        <w:jc w:val="center"/>
        <w:ind w:left="20" w:right="19"/>
        <w:spacing w:after="0" w:line="268" w:lineRule="auto"/>
        <w:rPr>
          <w:sz w:val="20"/>
          <w:szCs w:val="20"/>
          <w:color w:val="auto"/>
        </w:rPr>
      </w:pPr>
      <w:r>
        <w:rPr>
          <w:rFonts w:ascii="Times New Roman" w:cs="Times New Roman" w:eastAsia="Times New Roman" w:hAnsi="Times New Roman"/>
          <w:sz w:val="17"/>
          <w:szCs w:val="17"/>
          <w:color w:val="auto"/>
        </w:rPr>
        <w:t>STRATEGIES EURO CLO 2015-3 DAC, CARLYLE GLOBAL MARKET STRATEGIES EURO CLO 2016-1 DAC, CARLYLE GLOBAL MARKET STRATEGIES EURO CLO 2016-2 DAC, CARLYLE EURO CLO 2017-1 DAC, CARLYLE EURO CLO 2017-2 DAC, CARLYLE EURO CLO 2017-3 DAC, CARLYLE EURO CLO 2018-1 DAC, CARLYLE EURO CLO 2018-2 DAC, CARLYLE EURO CLO 2019-1 DAC, CARLYLE EURO CLO 2019-2 DAC, CARLYLE EURO CLO 2020-1 DAC, CARLYLE EURO CLO 2020-2 DAC, CARLYLE EURO CLO 2021-1 DAC, CARLYLE EURO CLO 2021-2 DAC, CARLYLE EURO CLO 2021-3 DAC, CARLYLE US CLO 2021-3S, LTD., CARLYLE US CLO 2021-4, LTD., CARLYLE US CLO 2021-5, LTD., CARLYLE US CLO 2021-6, LTD., CARLYLE US CLO 2021-7, LTD., CARLYLE US CLO 2021-8, LTD., CARLYLE US CLO 2021-10, LTD., CARLYLE US CLO 2021-9, LTD., CARLYLE US CLO 2021-11, LTD., CARLYLE US CLO 2021-J, LTD., CARLYLE US CLO 2022-A, LTD.,</w:t>
      </w:r>
    </w:p>
    <w:p>
      <w:pPr>
        <w:sectPr>
          <w:pgSz w:w="11900" w:h="16838" w:orient="portrait"/>
          <w:cols w:equalWidth="0" w:num="1">
            <w:col w:w="9019"/>
          </w:cols>
          <w:pgMar w:left="1440" w:top="229" w:right="1440" w:bottom="0" w:gutter="0" w:footer="0" w:header="0"/>
        </w:sectPr>
      </w:pPr>
    </w:p>
    <w:bookmarkStart w:id="1" w:name="page2"/>
    <w:bookmarkEnd w:id="1"/>
    <w:p>
      <w:pPr>
        <w:jc w:val="center"/>
        <w:ind w:left="20" w:right="39"/>
        <w:spacing w:after="0" w:line="251" w:lineRule="auto"/>
        <w:rPr>
          <w:sz w:val="20"/>
          <w:szCs w:val="20"/>
          <w:color w:val="auto"/>
        </w:rPr>
      </w:pPr>
      <w:r>
        <w:rPr>
          <w:rFonts w:ascii="Times New Roman" w:cs="Times New Roman" w:eastAsia="Times New Roman" w:hAnsi="Times New Roman"/>
          <w:sz w:val="18"/>
          <w:szCs w:val="18"/>
          <w:color w:val="auto"/>
        </w:rPr>
        <w:t>CARLYLE US CLO 2022-B, LTD., CICF COINVESTMENT, L.P., CARLYLE INFRASTRUCTURE CREDIT FUND NOTE ISSUER, L.P., CICF LUX FEEDER, SCSP, CARLYLE CREDIT OPPORTUNITIES FUND (PARALLEL) AIV, L.P., CARLYLE CREDIT OPPORTUNITIES FUND (PARALLEL) AIV INVESTORS, L.P., CARLYLE CREDIT OPPORTUNITIES FUND (PARALLEL) AIV 2, L.P., CARLYLE CREDIT OPPORTUNITIES FUND (PARALLEL) AIV INVESTORS 2, L.P., CARLYLE CREDIT OPPORTUNITIES FUND (PARALLEL) AIV 3, L.P., CARLYLE CREDIT OPPORTUNITIES FUND (PARALLEL) AIV 4, L.P., CARLYLE CREDIT OPPORTUNITIES FUND (PARALLEL) AIV INVESTORS 3, L.L.C., CARLYLE CREDIT OPPORTUNITIES FUND (PARALLEL) AIV INVESTORS 4, LLC, CARLYLE CREDIT OPPORTUNITIES FUND (PARALLEL) II AIV 3, L.P., CARLYLE CREDIT OPPORTUNITIES FUND (PARALLEL) II AIV 4, L.P., CARLYLE CREDIT OPPORTUNITIES FUND (PARALLEL) II AIV INVESTORS 3, LLC, PROJECT MEDIACO, L.P., CARLYLE BRAVO CREDIT INVESTOR, LLC, PROJECT HARMONY, L.P., CARLYLE CREDIT OPPORTUNITIES FUND (PARALLEL) II AIV 2, SCSP, CARLYLE CREDIT OPPORTUNITIES FUND (PARALLEL) II AIV, SCSP, CCOF II PARALLEL AIV INVESTORS, SCSP, CARLYLE CREDIT OPPORTUNITIES FUND (PARALLEL) II AIV HOLDINGS, L.P., CARLYLE CREDIT OPPORTUNITIES FUND (PARALLEL) II AIV 2 HOLDINGS, L.P., CARLYLE SPINNAKER PARTNERS 2, L.P., CARLYLE SPINNAKER PARTNERS 2 MAIN, L.P., CARLYLE CREDIT OPPORTUNITIES FUND II-N, L.P., CARLYLE CREDIT OPPORTUNITIES FUND II-N MAIN, L.P., CARLYLE REVOLVING LOAN FUND II, L.P., CREV II CAYMAN, L.P., CARLYLE DIRECT LENDING FUND (LEVERED), L.P., CARLYLE DIRECT LENDING FUND, L.P., CARLYLE FALCON STRUCTURED SOLUTIONS, L.L.C., CARLYLE AURORA INFRASTRUCTURE CREDIT PARTNERS, L.P., CARLYLE INFRASTRUCTURE CREDIT FUND (LEVERED), L.P., CREV II COINVESTMENT, L.P., CARLYLE ONTARIO CREDIT PARTNERSHIP DIRECT LENDING SPV, L.P., CARLYLE SKYLINE CREDIT FUND, AIV L.P., CCOF II PARALLEL IRVING AIV INVESTORS (LUX), SCSP, CCOF II LUX FEEDER IRVING AIV, SCSP, CCOF II PARALLEL IRVING AIV INVESTORS (DE), L.L.C., CARLYLE CREDIT OPPORTUNITIES FUND (PARALLEL) II IRVING AIV 2, L.P., CARLYLE CREDIT OPPORTUNITIES FUND (PARALLEL) II IRVING AIV, L.P., CSP IV BRAWN AIV, L.P., CSP IV COINVEST BRAWN INVESTORS, L.P., CSP IV COINVEST BRAWN, L.P., CSP IV (PARALLEL) AIV I, L.P., CSP IV CREDIT INVESTOR, LLC, BRAWN COINVEST ELECTING INVESTORS, L.P., CARLYLE TANGO RE CREDIT SPLITTER, L.P., CARLYLE CEDAR INFRASTRUCTURE CREDIT PARTNERS, L.P., CARLYLE AURORA REVOLVING LOAN FUND, L.P., CARLYLE DIRECT LENDING DRAWDOWN CLO 2022-1 PARTNERSHIP, L.P., CARLYLE US CLO 2022-F, LTD., CARLYLE US CLO 2022-G, LTD., CARLYLE US CLO 2022-H, LTD., CBAM 2017-1, LTD., CBAM 2017-2, LTD., CBAM 2017-3, LTD., CBAM 2017-4, L.L.C., CBAM 2017-4, LTD., CBAM 2018-5, LTD., CBAM 2018-6, LTD., CBAM 2018-7, LTD., CBAM 2018-8, LTD., CBAM 2019-9, LTD., CBAM 2019-10, LTD., CBAM 2019-11R, LTD., CBAM 2020-12, LTD., CBAM 2020-13, LLC, CBAM 2020-13, LTD., CBAM 2021-14, LTD., CBAM 2021-15, LLC, CARLYLE CREDIT OPPORTUNITIES FUND III, L.P., CARLYLE CREDIT OPPORTUNITIES FUND III (PARALLEL), SCSP, CARLYLE CREDIT OPPORTUNITIES FUND III PLUS, L.P., CARLYLE CREDIT OPPORTUNITIES FUND III PLUS (PARALLEL), SCSP</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191770</wp:posOffset>
            </wp:positionV>
            <wp:extent cx="5709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9285" cy="8255"/>
                    </a:xfrm>
                    <a:prstGeom prst="rect">
                      <a:avLst/>
                    </a:prstGeom>
                    <a:noFill/>
                  </pic:spPr>
                </pic:pic>
              </a:graphicData>
            </a:graphic>
          </wp:anchor>
        </w:drawing>
        <w:t>AMENDMENT NO. 2 TO THE APPLICATION FOR AN ORDER UNDER</w:t>
      </w:r>
    </w:p>
    <w:p>
      <w:pPr>
        <w:spacing w:after="0" w:line="27" w:lineRule="exact"/>
        <w:rPr>
          <w:sz w:val="20"/>
          <w:szCs w:val="20"/>
          <w:color w:val="auto"/>
        </w:rPr>
      </w:pPr>
    </w:p>
    <w:p>
      <w:pPr>
        <w:jc w:val="center"/>
        <w:ind w:left="2780"/>
        <w:spacing w:after="0" w:line="253" w:lineRule="auto"/>
        <w:rPr>
          <w:sz w:val="20"/>
          <w:szCs w:val="20"/>
          <w:color w:val="auto"/>
        </w:rPr>
      </w:pPr>
      <w:r>
        <w:rPr>
          <w:rFonts w:ascii="Times New Roman" w:cs="Times New Roman" w:eastAsia="Times New Roman" w:hAnsi="Times New Roman"/>
          <w:sz w:val="18"/>
          <w:szCs w:val="18"/>
          <w:color w:val="auto"/>
        </w:rPr>
        <w:t>SECTIONS 17(d), 57(a)(4) AND 57(i) OF THE INVESTMENT COMPANY ACT OF 1940 AND RULE 17d-1 UNDER THE INVESTMENT COMPANY ACT OF 1940 PERMITTING CERTAIN JOINT TRANSACTIONS OTHERWISE PROHIBITED BY SECTIONS 17(d), 57(a)(4) AND 57(i) OF THE INVESTMENT COMPANY ACT OF 1940 AND RULE 17d-1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5709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0928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Please direct all communications, notices</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Copies to:</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and orders to:</w:t>
            </w:r>
          </w:p>
        </w:tc>
        <w:tc>
          <w:tcPr>
            <w:tcW w:w="18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6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Joshua Lefkowitz</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Rajib Chanda</w:t>
            </w:r>
          </w:p>
        </w:tc>
      </w:tr>
      <w:tr>
        <w:trPr>
          <w:trHeight w:val="216"/>
        </w:trPr>
        <w:tc>
          <w:tcPr>
            <w:tcW w:w="46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P. Healey</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Carlyle Global Credit Investment Management LLC</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Simpson Thacher &amp; Bartlett LLP</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One Vanderbilt Avenue</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900 G Street NW</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Suite 3400</w:t>
            </w: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Washington, D.C. 20001</w:t>
            </w:r>
          </w:p>
        </w:tc>
      </w:tr>
      <w:tr>
        <w:trPr>
          <w:trHeight w:val="42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(202)-636-5500</w:t>
            </w:r>
          </w:p>
        </w:tc>
        <w:tc>
          <w:tcPr>
            <w:tcW w:w="540" w:type="dxa"/>
            <w:vAlign w:val="bottom"/>
          </w:tcPr>
          <w:p>
            <w:pPr>
              <w:spacing w:after="0"/>
              <w:rPr>
                <w:sz w:val="24"/>
                <w:szCs w:val="24"/>
                <w:color w:val="auto"/>
              </w:rPr>
            </w:pPr>
          </w:p>
        </w:tc>
      </w:tr>
      <w:tr>
        <w:trPr>
          <w:trHeight w:val="194"/>
        </w:trPr>
        <w:tc>
          <w:tcPr>
            <w:tcW w:w="4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(212) 813-4900</w:t>
            </w:r>
          </w:p>
        </w:tc>
        <w:tc>
          <w:tcPr>
            <w:tcW w:w="24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rajib.chanda@stblaw.com</w:t>
            </w:r>
          </w:p>
        </w:tc>
      </w:tr>
      <w:tr>
        <w:trPr>
          <w:trHeight w:val="20"/>
        </w:trPr>
        <w:tc>
          <w:tcPr>
            <w:tcW w:w="46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7"/>
        </w:trPr>
        <w:tc>
          <w:tcPr>
            <w:tcW w:w="466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christopher.healey@stblaw.com</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This Application (including Exhibits) contains 125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513"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OF AMERICA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BEFORE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179070</wp:posOffset>
            </wp:positionV>
            <wp:extent cx="2905760" cy="7946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05760" cy="79463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matter of:</w:t>
      </w:r>
    </w:p>
    <w:p>
      <w:pPr>
        <w:spacing w:after="0" w:line="252"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7"/>
          <w:szCs w:val="17"/>
          <w:color w:val="auto"/>
        </w:rPr>
        <w:t>CARLYLE SECURED LENDING, INC., CARLYLE CREDIT SOLUTIONS, INC., TCG BDC SPV LLC, CARLYLE CREDIT SOLUTIONS SPV LLC, CARLYLE CREDIT SOLUTIONS SPV 2 LLC, CARLYLE DIRECT LENDING CLO 2015-1R LLC, CARLYLE SECURED LENDING III, OCPC CREDIT FACILITY SPV LLC, CARLYLE TACTICAL PRIVATE CREDIT FUND, CARLYLE GLOBAL CREDIT INVESTMENT MANAGEMENT L.L.C., CSL III ADVISOR, LLC CARLYLE CLO MANAGEMENT L.L.C., MC UNI LLC, MC UNI SUBSIDIARY LLC, MC UNI SUBSIDIARY II (BLOCKER) LLC, CPC V, LP, CPC V SPV LLC, CDL 2018-1, L.L.C., CDL 2018-1 SPV LLC, CDL 2018-2, L.P., CARLYLE ONTARIO CREDIT PARTNERSHIP, L.P., CARLYLE ONTARIO CREDIT SLP L.L.C., CARLYLE ONTARIO CREDIT SPECIAL LIMITED PARTNER, L.P., CARLYLE SKYLINE CREDIT FUND, L.P., CDL 2020-3, L.L.C., CARLYLE CLO FUND, L.P., CARLYLE GLOBAL MARKET STRATEGIES CLO 2012-3, LTD., CARLYLE GLOBAL MARKET STRATEGIES CLO 2012-4, LTD., CARLYLE GLOBAL MARKET STRATEGIES CLO 2013-1, LTD.,</w:t>
      </w:r>
    </w:p>
    <w:p>
      <w:pPr>
        <w:spacing w:after="0" w:line="4" w:lineRule="exact"/>
        <w:rPr>
          <w:sz w:val="20"/>
          <w:szCs w:val="20"/>
          <w:color w:val="auto"/>
        </w:rPr>
      </w:pPr>
    </w:p>
    <w:p>
      <w:pPr>
        <w:ind w:left="340" w:right="20"/>
        <w:spacing w:after="0" w:line="265" w:lineRule="auto"/>
        <w:rPr>
          <w:sz w:val="20"/>
          <w:szCs w:val="20"/>
          <w:color w:val="auto"/>
        </w:rPr>
      </w:pPr>
      <w:r>
        <w:rPr>
          <w:rFonts w:ascii="Times New Roman" w:cs="Times New Roman" w:eastAsia="Times New Roman" w:hAnsi="Times New Roman"/>
          <w:sz w:val="17"/>
          <w:szCs w:val="17"/>
          <w:color w:val="auto"/>
        </w:rPr>
        <w:t>CARLYLE GLOBAL MARKET STRATEGIES CLO 2013-2, LTD., CARLYLE GLOBAL MARKET STRATEGIES CLO 2013-3, LTD., CARLYLE GLOBAL MARKET STRATEGIES CLO 2013-4, LTD., CARLYLE GLOBAL MARKET STRATEGIES CLO 2014-1, LTD.,</w:t>
      </w:r>
    </w:p>
    <w:p>
      <w:pPr>
        <w:spacing w:after="0" w:line="1" w:lineRule="exact"/>
        <w:rPr>
          <w:sz w:val="20"/>
          <w:szCs w:val="20"/>
          <w:color w:val="auto"/>
        </w:rPr>
      </w:pPr>
    </w:p>
    <w:p>
      <w:pPr>
        <w:ind w:left="340" w:right="320"/>
        <w:spacing w:after="0" w:line="265" w:lineRule="auto"/>
        <w:rPr>
          <w:sz w:val="20"/>
          <w:szCs w:val="20"/>
          <w:color w:val="auto"/>
        </w:rPr>
      </w:pPr>
      <w:r>
        <w:rPr>
          <w:rFonts w:ascii="Times New Roman" w:cs="Times New Roman" w:eastAsia="Times New Roman" w:hAnsi="Times New Roman"/>
          <w:sz w:val="17"/>
          <w:szCs w:val="17"/>
          <w:color w:val="auto"/>
        </w:rPr>
        <w:t>CARLYLE GLOBAL MARKET STRATEGIES CLO 2014-2-R, LTD., CARLYLE GLOBAL MARKET STRATEGIES CLO 2014-3-R, LTD, CARLYLE GLOBAL MARKET STRATEGIES CLO 2014-4-R,</w:t>
      </w:r>
    </w:p>
    <w:p>
      <w:pPr>
        <w:spacing w:after="0" w:line="1" w:lineRule="exact"/>
        <w:rPr>
          <w:sz w:val="20"/>
          <w:szCs w:val="20"/>
          <w:color w:val="auto"/>
        </w:rPr>
      </w:pPr>
    </w:p>
    <w:p>
      <w:pPr>
        <w:ind w:left="340" w:right="20"/>
        <w:spacing w:after="0" w:line="265" w:lineRule="auto"/>
        <w:rPr>
          <w:sz w:val="20"/>
          <w:szCs w:val="20"/>
          <w:color w:val="auto"/>
        </w:rPr>
      </w:pPr>
      <w:r>
        <w:rPr>
          <w:rFonts w:ascii="Times New Roman" w:cs="Times New Roman" w:eastAsia="Times New Roman" w:hAnsi="Times New Roman"/>
          <w:sz w:val="17"/>
          <w:szCs w:val="17"/>
          <w:color w:val="auto"/>
        </w:rPr>
        <w:t>LTD., CARLYLE GLOBAL MARKET STRATEGIES CLO 2014-5, LTD., CARLYLE GLOBAL MARKET STRATEGIES CLO 2015-1, LTD., CARLYLE GLOBAL MARKET STRATEGIES CLO 2015-2, LTD., CARLYLE GLOBAL MARKET STRATEGIES CLO 2015-3, LTD.,</w:t>
      </w:r>
    </w:p>
    <w:p>
      <w:pPr>
        <w:spacing w:after="0" w:line="1" w:lineRule="exact"/>
        <w:rPr>
          <w:sz w:val="20"/>
          <w:szCs w:val="20"/>
          <w:color w:val="auto"/>
        </w:rPr>
      </w:pPr>
    </w:p>
    <w:p>
      <w:pPr>
        <w:ind w:left="340" w:right="20"/>
        <w:spacing w:after="0" w:line="265" w:lineRule="auto"/>
        <w:rPr>
          <w:sz w:val="20"/>
          <w:szCs w:val="20"/>
          <w:color w:val="auto"/>
        </w:rPr>
      </w:pPr>
      <w:r>
        <w:rPr>
          <w:rFonts w:ascii="Times New Roman" w:cs="Times New Roman" w:eastAsia="Times New Roman" w:hAnsi="Times New Roman"/>
          <w:sz w:val="17"/>
          <w:szCs w:val="17"/>
          <w:color w:val="auto"/>
        </w:rPr>
        <w:t>CARLYLE GLOBAL MARKET STRATEGIES CLO 2015-4, LTD., CARLYLE GLOBAL MARKET STRATEGIES CLO 2015-5, LTD., CARLYLE GLOBAL MARKET STRATEGIES CLO 2016-1, LTD., CARLYLE GLOBAL MARKET STRATEGIES CLO 2016-2, LTD.,</w:t>
      </w:r>
    </w:p>
    <w:p>
      <w:pPr>
        <w:spacing w:after="0" w:line="1" w:lineRule="exact"/>
        <w:rPr>
          <w:sz w:val="20"/>
          <w:szCs w:val="20"/>
          <w:color w:val="auto"/>
        </w:rPr>
      </w:pPr>
    </w:p>
    <w:p>
      <w:pPr>
        <w:ind w:left="340" w:right="120"/>
        <w:spacing w:after="0" w:line="265" w:lineRule="auto"/>
        <w:rPr>
          <w:sz w:val="20"/>
          <w:szCs w:val="20"/>
          <w:color w:val="auto"/>
        </w:rPr>
      </w:pPr>
      <w:r>
        <w:rPr>
          <w:rFonts w:ascii="Times New Roman" w:cs="Times New Roman" w:eastAsia="Times New Roman" w:hAnsi="Times New Roman"/>
          <w:sz w:val="17"/>
          <w:szCs w:val="17"/>
          <w:color w:val="auto"/>
        </w:rPr>
        <w:t>CARLYLE GLOBAL MARKET STRATEGIES CLO 2016-3, LTD., CARLYLE US CLO 2016-4, LTD., CARLYLE US CLO 2017-1, LTD., CARLYLE US CLO 2017-2, LTD., CARLYLE US CLO 2017-3, LTD., CARLYLE US CLO 2017-4, LTD., CARLYLE US CLO 2017-5, LTD., CARLYLE US CLO 2018-1, LTD., CARLYLE US CLO 2018-2, LTD., CARLYLE US CLO 2018-3, LTD., CARLYLE US CLO 2018-4, LTD., CARLYLE US CLO 2019-1, LTD., CARLYLE US CLO 2019-2, LTD., CARLYLE US CLO 2019-3, LTD., CARLYLE US CLO 2019-4, LTD., CARLYLE US CLO 2020-1, LTD., CARLYLE US CLO 2020-A, LTD.,</w:t>
      </w:r>
    </w:p>
    <w:p>
      <w:pPr>
        <w:spacing w:after="0" w:line="2" w:lineRule="exact"/>
        <w:rPr>
          <w:sz w:val="20"/>
          <w:szCs w:val="20"/>
          <w:color w:val="auto"/>
        </w:rPr>
      </w:pPr>
    </w:p>
    <w:p>
      <w:pPr>
        <w:ind w:left="340" w:right="540"/>
        <w:spacing w:after="0" w:line="260" w:lineRule="auto"/>
        <w:rPr>
          <w:sz w:val="20"/>
          <w:szCs w:val="20"/>
          <w:color w:val="auto"/>
        </w:rPr>
      </w:pPr>
      <w:r>
        <w:rPr>
          <w:rFonts w:ascii="Times New Roman" w:cs="Times New Roman" w:eastAsia="Times New Roman" w:hAnsi="Times New Roman"/>
          <w:sz w:val="18"/>
          <w:szCs w:val="18"/>
          <w:color w:val="auto"/>
        </w:rPr>
        <w:t>CARLYLE STRUCTURED CREDIT FUND, L.P., CARLYLE C17 CLO,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9"/>
        <w:spacing w:after="0" w:line="269" w:lineRule="auto"/>
        <w:rPr>
          <w:sz w:val="20"/>
          <w:szCs w:val="20"/>
          <w:color w:val="auto"/>
        </w:rPr>
      </w:pPr>
      <w:r>
        <w:rPr>
          <w:rFonts w:ascii="Times New Roman" w:cs="Times New Roman" w:eastAsia="Times New Roman" w:hAnsi="Times New Roman"/>
          <w:sz w:val="17"/>
          <w:szCs w:val="17"/>
          <w:color w:val="auto"/>
        </w:rPr>
        <w:t>Amendment No. 2 to the Application for an Order under Sections 17(d), 57(a)(4) and 57(i) of the Investment Company Act of 1940 and Rule 17d-1 under the Investment Company Act of 1940 Permitting Certain Joint Transactions Otherwise Prohibited by Sections 17(d), 57(a)</w:t>
      </w:r>
    </w:p>
    <w:p>
      <w:pPr>
        <w:spacing w:after="0" w:line="3" w:lineRule="exact"/>
        <w:rPr>
          <w:sz w:val="20"/>
          <w:szCs w:val="20"/>
          <w:color w:val="auto"/>
        </w:rPr>
      </w:pPr>
    </w:p>
    <w:p>
      <w:pPr>
        <w:ind w:right="159" w:firstLine="6"/>
        <w:spacing w:after="0" w:line="260"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57(i) of the Investment Company Act of 1940 and Rule 17d-1 under the Investment Company Act of 1940</w:t>
      </w:r>
    </w:p>
    <w:p>
      <w:pPr>
        <w:sectPr>
          <w:pgSz w:w="11900" w:h="16838" w:orient="portrait"/>
          <w:cols w:equalWidth="0" w:num="2">
            <w:col w:w="4560" w:space="120"/>
            <w:col w:w="4339"/>
          </w:cols>
          <w:pgMar w:left="1440" w:top="270" w:right="1440" w:bottom="1440" w:gutter="0" w:footer="0" w:header="0"/>
          <w:type w:val="continuous"/>
        </w:sectPr>
      </w:pPr>
    </w:p>
    <w:bookmarkStart w:id="4" w:name="page5"/>
    <w:bookmarkEnd w:id="4"/>
    <w:p>
      <w:pPr>
        <w:ind w:left="340"/>
        <w:spacing w:after="0"/>
        <w:rPr>
          <w:sz w:val="20"/>
          <w:szCs w:val="20"/>
          <w:color w:val="auto"/>
        </w:rPr>
      </w:pPr>
      <w:r>
        <w:rPr>
          <w:rFonts w:ascii="Times New Roman" w:cs="Times New Roman" w:eastAsia="Times New Roman" w:hAnsi="Times New Roman"/>
          <w:sz w:val="17"/>
          <w:szCs w:val="17"/>
          <w:color w:val="auto"/>
        </w:rPr>
        <w:t>LTD., CARLYLE US CLO 2020-2, LTD., CARLYLE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-120650</wp:posOffset>
            </wp:positionV>
            <wp:extent cx="2905760" cy="5915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05760" cy="5915025"/>
                    </a:xfrm>
                    <a:prstGeom prst="rect">
                      <a:avLst/>
                    </a:prstGeom>
                    <a:noFill/>
                  </pic:spPr>
                </pic:pic>
              </a:graphicData>
            </a:graphic>
          </wp:anchor>
        </w:drawing>
      </w:r>
    </w:p>
    <w:p>
      <w:pPr>
        <w:spacing w:after="0" w:line="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 2021-A, LTD., CARLYLE STRUCTURED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COINVESTMENT, L.P., CARLYLE ENERGY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MEZZANINE OPPORTUNITIES FUND II,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ENERGY MEZZANINE OPPORTUNITIES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FUND II-A, L.P., CEMOF II COINVESTMENT,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CEMOF II MASTER CO-INVESTMENT PARTNERS,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L.P., CEMOF II MASTER CO-INVESTMENT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PARTNERS AIV ONE, L.P., CEMOF II MASTER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CO-INVESTMENT PARTNERS AIV, L.P., CEMOF-A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COINVESTMENT PARTNERS, L.P., CEMOF II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L.P., CEMOF II AIV ONE, L.P., CEMOF II AIV TWO,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L.P., CEMOF II AIV THREE, L.P., CEMOF II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 L.P., CEMOF II-A AIV, L.P., CEMOF II-A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ONE, L.P., CEMOF II-A AIV TWO, L.P., CEMOF II-A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AIV THREE, L.P., CEMOF II-A AIV FOUR,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CEMOF II OFFSHORE INVESTORS, L.P.,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OPPORTUNITIES FUND (PARALLEL),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CREDIT OPPORTUNITIES FUND,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CCOF CAYMAN, L.P., CCOF CO-INVESTMENT,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CCOF NORTH CO-INVESTMENT, L.P.,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CREDIT OPPORTUNITIES FUND NOTE ISSUER, L.P.,</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(PARALLEL) NOTE ISSUER, L.P., CCOF GEM CO-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L.P., CCOF MASTER CAYMAN GEM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CO-INVESTMENT, LTD., CCOF ONSHORE CO-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BORROWER LLC, CCOF MASTER CAYMAN, LTD.,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CCOF S.à r.l., CCOF MASTER S.à r.l., GC LION S.à r.l.,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CCOF SPV I S.à r.l., CCOF MADISON JV S.a r.l., GC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ORANGE S.à r.l., CCOF MASTER CO-INVESTMENT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S.à r.l., CCOF CO-INVESTMENT S.à r.l., CCOF MAIN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SPV, L.P., CARLYLE TANGO RE CREDIT,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CREDIT OPPORTUNITIES FUND II,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(PARALLEL) II, SCSp,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OPPORTUNITIES FUND II NOTE ISSUER, L.P., CCOF</w:t>
      </w:r>
    </w:p>
    <w:p>
      <w:pPr>
        <w:spacing w:after="0" w:line="21" w:lineRule="exact"/>
        <w:rPr>
          <w:sz w:val="20"/>
          <w:szCs w:val="20"/>
          <w:color w:val="auto"/>
        </w:rPr>
      </w:pPr>
    </w:p>
    <w:p>
      <w:pPr>
        <w:ind w:left="340" w:right="4539" w:hanging="1"/>
        <w:spacing w:after="0" w:line="269" w:lineRule="auto"/>
        <w:tabs>
          <w:tab w:leader="none" w:pos="50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LUX FEEDER, SCSp, CARLYLE CREDIT OPPORTUNITIES FUND (PARALLEL) II NOTE ISSUER, L.P., CCOF II CO-INVESTMENT, L.P., CCOF II MASTER, L.P., CCOF II MASTER CAYMAN, LTD., CCOF II ONSHORE SPV, L.P., CCOF II MASTER S.à r.l., CCOF II SPV S.à r.l., CCOF MASTER, L.P., CCOF PARALLEL AIV, L.P., CCOF PARALLEL AIV</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135" w:right="1440" w:bottom="1440" w:gutter="0" w:footer="0" w:header="0"/>
        </w:sectPr>
      </w:pPr>
    </w:p>
    <w:bookmarkStart w:id="5" w:name="page6"/>
    <w:bookmarkEnd w:id="5"/>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8"/>
          <w:szCs w:val="18"/>
          <w:color w:val="auto"/>
        </w:rPr>
        <w:t>INVESTORS, L.L.C., CARLYLE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-127635</wp:posOffset>
            </wp:positionV>
            <wp:extent cx="2863215" cy="10420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63215" cy="1042098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PARTNERS IV, L.P., CSP IV COINVESTMENT,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CSP IV COINVESTMENT (CAYMAN), L.P., CSP 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(CAYMAN 1), L.P., CSP IV ACQUISITIONS, L.P., CSP</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IV S-1 AIV, L.P., CSP IV S-1A AIV, L.P., CSP IV S-1B</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AIV, L.P., CREDIT ACQUISITIONS (CAYMAN-3),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L.P., CSP IV ARF (CAYMAN 3), L.P., CSP 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(CAYMAN 2), L.P., CSP IV (CAYMAN 3),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CLOVER PARTNERS, L.P.,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CLOVER PARTNERS 2, L.P., CARLYLE REVOLVING</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 FUND, L.P., CREV COINVESTMENT,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CREV CAYMAN, L.P., CLOVER FINANCING SPV,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L.P., CARLYLE INFRASTRUCTURE CREDIT FUND,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L.P., CARLYLE BRAVO OPPORTUNISTIC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PARTNERSHIP, L.P., CARLYLE BRAVO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OPPORTUNISTIC CREDIT FEEDER, L.P., CELF</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ADVISORS LLP, CARLYLE EURO CLO 2013-1 DAC,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GLOBAL MARKET STRATEGIES EURO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 2014-1 DAC, CARLYLE GLOBAL MARKET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STRATEGIES EURO CLO 2014-2 DAC,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GLOBAL MARKET STRATEGIES EURO CLO 2014-3</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DAC, CARLYLE GLOBAL MARKET STRATEGIES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EURO CLO 2015-1 DAC, CARLYLE GLOBAL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MARKET STRATEGIES EURO CLO 2015-2 DAC,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GLOBAL MARKET STRATEGIES EURO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 2015-3 DAC, CARLYLE GLOBAL MARKET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STRATEGIES EURO CLO 2016-1 DAC,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GLOBAL MARKET STRATEGIES EURO CLO 2016-2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DAC, CARLYLE EURO CLO 2017-1 DAC,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EURO CLO 2017-2 DAC, CARLYLE EURO CLO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2017-3 DAC, CARLYLE EURO CLO 2018-1 DAC,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CARLYLE EURO CLO 2018-2 DAC, CARLYLE EURO</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 2019-1 DAC, CARLYLE EURO CLO 2019-2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DAC, CARLYLE EURO CLO 2020-1 DAC,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EURO CLO 2020-2 DAC, CARLYLE EURO CLO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2021-1 DAC, CARLYLE EURO CLO 2021-2 DAC,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EURO CLO 2021-3 DAC, CARLYLE US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CLO 2021-3S, LTD., CARLYLE US CLO 2021-4, LTD.,</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US CLO 2021-5, LTD., CARLYLE US CLO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2021-6, LTD., CARLYLE US CLO 2021-7, LTD.,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US CLO 2021-8, LTD., CARLYLE US CLO</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2021-10, LTD., CARLYLE US CLO 2021-9, LTD.,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US CLO 2021-11, LTD., CARLYLE US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CLO 2021-J, LTD., CARLYLE US CLO 2022-A, LTD.,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US CLO 2022-B, LTD., CICF</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COINVESTMENT, L.P.,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INFRASTRUCTURE CREDIT FUND NOTE ISSUER,</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L.P., CICF LUX FEEDER, SCSP,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(PARALLEL) AIV,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(PARALLEL) AIV INVESTORS, L.P.,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OPPORTUNITIES FUND (PARALLEL)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L.P., CARLYLE CREDIT OPPORTUNITIES FUND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(PARALLEL) AIV INVESTORS 2, L.P.,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OPPORTUNITIES FUND (PARALLEL)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L.P., CARLYLE CREDIT OPPORTUNITIES FUND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(PARALLEL) AIV 4, L.P.,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(PARALLEL)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INVESTORS 3, L.L.C.,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(PARALLEL)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INVESTORS 4, LLC,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(PARALLEL) II AIV 3,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(PARALLEL) II AIV 4, L.P.,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(PARALLEL) II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INVESTORS 3, LLC, PROJECT MEDIACO,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BRAVO CREDIT INVESTOR, LLC,</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PROJECT HARMONY, L.P.,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(PARALLEL) II AIV 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SCSP, CARLYLE CREDIT OPPORTUNITIES FUND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(PARALLEL) II AIV, SCSP, CCOF II PARALLEL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INVESTORS, SCSP,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(PARALLEL) II AIV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HOLDINGS, L.P.,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(PARALLEL) II AIV 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HOLDINGS, L.P., CARLYLE SPINNAKER</w:t>
      </w:r>
    </w:p>
    <w:p>
      <w:pPr>
        <w:sectPr>
          <w:pgSz w:w="11900" w:h="16909" w:orient="portrait"/>
          <w:cols w:equalWidth="0" w:num="1">
            <w:col w:w="9019"/>
          </w:cols>
          <w:pgMar w:left="1440" w:top="283" w:right="1440" w:bottom="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color w:val="auto"/>
        </w:rPr>
        <w:t>PARTNERS 2, L.P., CARLYLE SPINNAKER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-119380</wp:posOffset>
            </wp:positionV>
            <wp:extent cx="2863215" cy="81178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3215" cy="811784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PARTNERS 2 MAIN, L.P., CARLYLE CREDIT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OPPORTUNITIES FUND II-N, L.P., CARLYLE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CREDIT OPPORTUNITIES FUND II-N MAIN, L.P.,</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CARLYLE REVOLVING LOAN FUND II, L.P., CREV</w:t>
      </w:r>
    </w:p>
    <w:p>
      <w:pPr>
        <w:spacing w:after="0" w:line="9" w:lineRule="exact"/>
        <w:rPr>
          <w:sz w:val="20"/>
          <w:szCs w:val="20"/>
          <w:color w:val="auto"/>
        </w:rPr>
      </w:pPr>
    </w:p>
    <w:p>
      <w:pPr>
        <w:ind w:left="340" w:right="4599" w:hanging="1"/>
        <w:spacing w:after="0" w:line="265" w:lineRule="auto"/>
        <w:tabs>
          <w:tab w:leader="none" w:pos="50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CAYMAN, L.P., CARLYLE DIRECT LENDING FUND (LEVERED), L.P., CARLYLE DIRECT LENDING FUND, L.P., CARLYLE FALCON STRUCTURED SOLUTIONS, L.L.C., CARLYLE AURORA INFRASTRUCTURE CREDIT PARTNERS, L.P., CARLYLE INFRASTRUCTURE CREDIT FUND (LEVERED), L.P., CREV II COINVESTMENT, L.P.,</w:t>
      </w:r>
    </w:p>
    <w:p>
      <w:pPr>
        <w:spacing w:after="0" w:line="1" w:lineRule="exact"/>
        <w:rPr>
          <w:rFonts w:ascii="Times New Roman" w:cs="Times New Roman" w:eastAsia="Times New Roman" w:hAnsi="Times New Roman"/>
          <w:sz w:val="17"/>
          <w:szCs w:val="17"/>
          <w:color w:val="auto"/>
        </w:rPr>
      </w:pPr>
    </w:p>
    <w:p>
      <w:pPr>
        <w:ind w:left="340" w:right="4539"/>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CARLYLE ONTARIO CREDIT PARTNERSHIP DIRECT LENDING SPV, L.P., CARLYLE SKYLINE CREDIT FUND, AIV L.P., CCOF II PARALLEL IRVING AIV INVESTORS (LUX), SCSP, CCOF II LUX FEEDER IRVING AIV, SCSP, CCOF II PARALLEL IRVING AIV INVESTORS (DE), L.L.C., CARLYLE CREDIT OPPORTUNITIES FUND (PARALLEL) II IRVING AIV 2, L.P., CARLYLE CREDIT OPPORTUNITIES FUND (PARALLEL) II IRVING AIV, L.P., CSP IV BRAWN AIV, L.P., CSP IV COINVEST BRAWN INVESTORS, L.P., CSP IV COINVEST BRAWN, L.P., CSP IV (PARALLEL) AIV I, L.P., CSP IV CREDIT INVESTOR, LLC, BRAWN COINVEST ELECTING INVESTORS, L.P., CARLYLE TANGO RE CREDIT SPLITTER, L.P., CARLYLE CEDAR INFRASTRUCTURE CREDIT PARTNERS, L.P., CARLYLE AURORA REVOLVING LOAN FUND, L.P., CARLYLE DIRECT LENDING DRAWDOWN CLO 2022-1 PARTNERSHIP, L.P., CARLYLE US CLO 2022-F, LTD., CARLYLE US CLO 2022-G, LTD., CARLYLE US CLO 2022-H, LTD., CBAM 2017-1, LTD., CBAM 2017-2, LTD., CBAM 2017-3, LTD., CBAM 2017-4, L.L.C., CBAM 2017-4, LTD., CBAM 2018-5, LTD., CBAM 2018-6, LTD., CBAM 2018-7, LTD., CBAM 2018-8, LTD., CBAM 2019-9, LTD., CBAM 2019-10, LTD., CBAM 2019-11R, LTD., CBAM 2020-12, LTD., CBAM 2020-13, LLC, CBAM 2020-13, LTD., CBAM 2021-14, LTD., CBAM 2021-15, LLC, CARLYLE CREDIT OPPORTUNITIES FUND III, L.P., CARLYLE CREDIT OPPORTUNITIES FUND III (PARALLEL), SCSP, CARLYLE CREDIT OPPORTUNITIES FUND III PLUS, L.P., CARLYLE CREDIT OPPORTUNITIES FUND III PLUS (PARALLEL), SCSP</w:t>
      </w:r>
    </w:p>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One Vanderbilt Avenue, Suite 3400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TCG CAPITAL MARKETS L.L.C. AND TCG SENIOR</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FUNDING L.L.C.</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1001 Pennsylvania Avenue, NW</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Suite 220 South</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200" w:lineRule="exact"/>
        <w:rPr>
          <w:sz w:val="20"/>
          <w:szCs w:val="20"/>
          <w:color w:val="auto"/>
        </w:rPr>
      </w:pPr>
    </w:p>
    <w:p>
      <w:pPr>
        <w:spacing w:after="0" w:line="300" w:lineRule="exact"/>
        <w:rPr>
          <w:sz w:val="20"/>
          <w:szCs w:val="20"/>
          <w:color w:val="auto"/>
        </w:rPr>
      </w:pPr>
    </w:p>
    <w:p>
      <w:pPr>
        <w:ind w:left="360" w:hanging="349"/>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w:t>
      </w:r>
    </w:p>
    <w:p>
      <w:pPr>
        <w:spacing w:after="0" w:line="135" w:lineRule="exact"/>
        <w:rPr>
          <w:sz w:val="20"/>
          <w:szCs w:val="20"/>
          <w:color w:val="auto"/>
        </w:rPr>
      </w:pPr>
    </w:p>
    <w:p>
      <w:pPr>
        <w:ind w:left="360" w:hanging="349"/>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Requested Relief:</w:t>
      </w:r>
    </w:p>
    <w:p>
      <w:pPr>
        <w:spacing w:after="0" w:line="113" w:lineRule="exact"/>
        <w:rPr>
          <w:sz w:val="20"/>
          <w:szCs w:val="20"/>
          <w:color w:val="auto"/>
        </w:rPr>
      </w:pPr>
    </w:p>
    <w:p>
      <w:pPr>
        <w:ind w:left="20" w:right="139"/>
        <w:spacing w:after="0" w:line="237" w:lineRule="auto"/>
        <w:rPr>
          <w:sz w:val="20"/>
          <w:szCs w:val="20"/>
          <w:color w:val="auto"/>
        </w:rPr>
      </w:pPr>
      <w:r>
        <w:rPr>
          <w:rFonts w:ascii="Times New Roman" w:cs="Times New Roman" w:eastAsia="Times New Roman" w:hAnsi="Times New Roman"/>
          <w:sz w:val="18"/>
          <w:szCs w:val="18"/>
          <w:color w:val="auto"/>
        </w:rPr>
        <w:t>Carlyle Secured Lending, Inc. (f/k/a TCG BDC, Inc.) (“</w:t>
      </w:r>
      <w:r>
        <w:rPr>
          <w:rFonts w:ascii="Times New Roman" w:cs="Times New Roman" w:eastAsia="Times New Roman" w:hAnsi="Times New Roman"/>
          <w:sz w:val="18"/>
          <w:szCs w:val="18"/>
          <w:b w:val="1"/>
          <w:bCs w:val="1"/>
          <w:i w:val="1"/>
          <w:iCs w:val="1"/>
          <w:color w:val="auto"/>
        </w:rPr>
        <w:t>BDC I</w:t>
      </w:r>
      <w:r>
        <w:rPr>
          <w:rFonts w:ascii="Times New Roman" w:cs="Times New Roman" w:eastAsia="Times New Roman" w:hAnsi="Times New Roman"/>
          <w:sz w:val="18"/>
          <w:szCs w:val="18"/>
          <w:color w:val="auto"/>
        </w:rPr>
        <w:t>”), Carlyle Credit Solutions, Inc. (f/k/a TCG BDC II, Inc.) (“</w:t>
      </w:r>
      <w:r>
        <w:rPr>
          <w:rFonts w:ascii="Times New Roman" w:cs="Times New Roman" w:eastAsia="Times New Roman" w:hAnsi="Times New Roman"/>
          <w:sz w:val="18"/>
          <w:szCs w:val="18"/>
          <w:b w:val="1"/>
          <w:bCs w:val="1"/>
          <w:i w:val="1"/>
          <w:iCs w:val="1"/>
          <w:color w:val="auto"/>
        </w:rPr>
        <w:t>BDC II</w:t>
      </w:r>
      <w:r>
        <w:rPr>
          <w:rFonts w:ascii="Times New Roman" w:cs="Times New Roman" w:eastAsia="Times New Roman" w:hAnsi="Times New Roman"/>
          <w:sz w:val="18"/>
          <w:szCs w:val="18"/>
          <w:color w:val="auto"/>
        </w:rPr>
        <w:t>”), Carlyle Secured Lending III (“</w:t>
      </w:r>
      <w:r>
        <w:rPr>
          <w:rFonts w:ascii="Times New Roman" w:cs="Times New Roman" w:eastAsia="Times New Roman" w:hAnsi="Times New Roman"/>
          <w:sz w:val="18"/>
          <w:szCs w:val="18"/>
          <w:b w:val="1"/>
          <w:bCs w:val="1"/>
          <w:i w:val="1"/>
          <w:iCs w:val="1"/>
          <w:color w:val="auto"/>
        </w:rPr>
        <w:t>BDC III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Carlyle Tactical Private Credit Fund (“</w:t>
      </w:r>
      <w:r>
        <w:rPr>
          <w:rFonts w:ascii="Times New Roman" w:cs="Times New Roman" w:eastAsia="Times New Roman" w:hAnsi="Times New Roman"/>
          <w:sz w:val="18"/>
          <w:szCs w:val="18"/>
          <w:b w:val="1"/>
          <w:bCs w:val="1"/>
          <w:i w:val="1"/>
          <w:iCs w:val="1"/>
          <w:color w:val="auto"/>
        </w:rPr>
        <w:t>CTAC</w:t>
      </w:r>
      <w:r>
        <w:rPr>
          <w:rFonts w:ascii="Times New Roman" w:cs="Times New Roman" w:eastAsia="Times New Roman" w:hAnsi="Times New Roman"/>
          <w:sz w:val="18"/>
          <w:szCs w:val="18"/>
          <w:color w:val="auto"/>
        </w:rPr>
        <w:t>”) and their related entities identified in Section I.B below hereby request an order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pursuant to Sections 17(d), 57(a)(4) and 57(i) of the Investment Company Act of 1940,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Rule 17d-1 thereunder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authorizing certain joint transactions that otherwise would be prohibited by either or both of Sections 17(d) and 57(a)(4) as modified by the exemptive rules adopted by the U.S.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Act.</w:t>
      </w:r>
    </w:p>
    <w:p>
      <w:pPr>
        <w:spacing w:after="0" w:line="195" w:lineRule="exact"/>
        <w:rPr>
          <w:sz w:val="20"/>
          <w:szCs w:val="20"/>
          <w:color w:val="auto"/>
        </w:rPr>
      </w:pPr>
    </w:p>
    <w:p>
      <w:pPr>
        <w:ind w:left="20" w:right="179"/>
        <w:spacing w:after="0" w:line="286" w:lineRule="auto"/>
        <w:rPr>
          <w:sz w:val="20"/>
          <w:szCs w:val="20"/>
          <w:color w:val="auto"/>
        </w:rPr>
      </w:pPr>
      <w:r>
        <w:rPr>
          <w:rFonts w:ascii="Times New Roman" w:cs="Times New Roman" w:eastAsia="Times New Roman" w:hAnsi="Times New Roman"/>
          <w:sz w:val="18"/>
          <w:szCs w:val="18"/>
          <w:color w:val="auto"/>
        </w:rPr>
        <w:t>In particular, the relief requested in this application (the “</w:t>
      </w:r>
      <w:r>
        <w:rPr>
          <w:rFonts w:ascii="Times New Roman" w:cs="Times New Roman" w:eastAsia="Times New Roman" w:hAnsi="Times New Roman"/>
          <w:sz w:val="18"/>
          <w:szCs w:val="18"/>
          <w:b w:val="1"/>
          <w:bCs w:val="1"/>
          <w:i w:val="1"/>
          <w:iCs w:val="1"/>
          <w:color w:val="auto"/>
        </w:rPr>
        <w:t>Application</w:t>
      </w:r>
      <w:r>
        <w:rPr>
          <w:rFonts w:ascii="Times New Roman" w:cs="Times New Roman" w:eastAsia="Times New Roman" w:hAnsi="Times New Roman"/>
          <w:sz w:val="18"/>
          <w:szCs w:val="18"/>
          <w:color w:val="auto"/>
        </w:rPr>
        <w:t>”) would allow a Regulated Fund (defined below) (or any Wholly-Owned Investment Sub (defined below) of such Regulated Fund), on the one hand, and one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25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6" w:lineRule="exact"/>
        <w:rPr>
          <w:sz w:val="20"/>
          <w:szCs w:val="20"/>
          <w:color w:val="auto"/>
        </w:rPr>
      </w:pPr>
    </w:p>
    <w:p>
      <w:pPr>
        <w:ind w:left="360" w:hanging="349"/>
        <w:spacing w:after="0"/>
        <w:tabs>
          <w:tab w:leader="none" w:pos="36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Unless otherwise indicated, all section references herein are to the Act.</w:t>
      </w:r>
    </w:p>
    <w:p>
      <w:pPr>
        <w:ind w:left="360" w:hanging="349"/>
        <w:spacing w:after="0" w:line="180" w:lineRule="auto"/>
        <w:tabs>
          <w:tab w:leader="none" w:pos="36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Unless otherwise indicated, all section references herein are to the Act.</w:t>
      </w:r>
    </w:p>
    <w:p>
      <w:pPr>
        <w:sectPr>
          <w:pgSz w:w="11900" w:h="16838" w:orient="portrait"/>
          <w:cols w:equalWidth="0" w:num="1">
            <w:col w:w="9019"/>
          </w:cols>
          <w:pgMar w:left="1440" w:top="121" w:right="1440" w:bottom="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21" w:right="1440" w:bottom="1440" w:gutter="0" w:footer="0" w:header="0"/>
        </w:sectPr>
      </w:pPr>
    </w:p>
    <w:bookmarkStart w:id="8" w:name="page9"/>
    <w:bookmarkEnd w:id="8"/>
    <w:p>
      <w:pPr>
        <w:ind w:left="20" w:right="59"/>
        <w:spacing w:after="0" w:line="24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Regulated Funds (or any Wholly-Owned Investment Sub of such Regulated Fund), one or more Affiliated Funds (defined below) and/or one or more Capital Markets Affiliates (defined below), on the other hand, to participate in the same investment opportunities where such participation would otherwise be prohibited under Section 17(d) or 57(a)(4) and the rules under the Act. All existing entities that currently intend to rely on the Order have been named as Applicants (defined below) and any existing or future entities that may rely on the Order in the future will comply with the terms and conditions set forth below in this Application (the “</w:t>
      </w:r>
      <w:r>
        <w:rPr>
          <w:rFonts w:ascii="Times New Roman" w:cs="Times New Roman" w:eastAsia="Times New Roman" w:hAnsi="Times New Roman"/>
          <w:sz w:val="18"/>
          <w:szCs w:val="18"/>
          <w:b w:val="1"/>
          <w:bCs w:val="1"/>
          <w:i w:val="1"/>
          <w:iCs w:val="1"/>
          <w:color w:val="auto"/>
        </w:rPr>
        <w:t>Conditions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The Order would supersede an exemptive order issued by the Commission on January 17, 2018 (the “</w:t>
      </w:r>
      <w:r>
        <w:rPr>
          <w:rFonts w:ascii="Times New Roman" w:cs="Times New Roman" w:eastAsia="Times New Roman" w:hAnsi="Times New Roman"/>
          <w:sz w:val="18"/>
          <w:szCs w:val="18"/>
          <w:b w:val="1"/>
          <w:bCs w:val="1"/>
          <w:i w:val="1"/>
          <w:iCs w:val="1"/>
          <w:color w:val="auto"/>
        </w:rPr>
        <w:t>Prior Order</w:t>
      </w:r>
      <w:r>
        <w:rPr>
          <w:rFonts w:ascii="Times New Roman" w:cs="Times New Roman" w:eastAsia="Times New Roman" w:hAnsi="Times New Roman"/>
          <w:sz w:val="18"/>
          <w:szCs w:val="18"/>
          <w:color w:val="auto"/>
        </w:rPr>
        <w:t>”) that was granted pursuant to Sections 17(d) and 57(i) and Rule 17d-1, and no person will rely on the Prior Order after the date the Order is granted.</w:t>
      </w:r>
      <w:r>
        <w:rPr>
          <w:rFonts w:ascii="Times New Roman" w:cs="Times New Roman" w:eastAsia="Times New Roman" w:hAnsi="Times New Roman"/>
          <w:sz w:val="26"/>
          <w:szCs w:val="26"/>
          <w:color w:val="auto"/>
          <w:vertAlign w:val="superscript"/>
        </w:rPr>
        <w:t>4</w:t>
      </w:r>
    </w:p>
    <w:p>
      <w:pPr>
        <w:spacing w:after="0" w:line="222" w:lineRule="exact"/>
        <w:rPr>
          <w:sz w:val="20"/>
          <w:szCs w:val="20"/>
          <w:color w:val="auto"/>
        </w:rPr>
      </w:pPr>
    </w:p>
    <w:p>
      <w:pPr>
        <w:ind w:left="360" w:hanging="349"/>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Applicants Seeking Relief:</w:t>
      </w:r>
    </w:p>
    <w:p>
      <w:pPr>
        <w:spacing w:after="0" w:line="130" w:lineRule="exact"/>
        <w:rPr>
          <w:rFonts w:ascii="Times New Roman" w:cs="Times New Roman" w:eastAsia="Times New Roman" w:hAnsi="Times New Roman"/>
          <w:sz w:val="18"/>
          <w:szCs w:val="18"/>
          <w:color w:val="auto"/>
        </w:rPr>
      </w:pPr>
    </w:p>
    <w:p>
      <w:pPr>
        <w:ind w:left="800" w:right="219" w:hanging="343"/>
        <w:spacing w:after="0" w:line="282" w:lineRule="auto"/>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BDC I, an externally managed, non-diversified closed-end investment company that has elected to be regulated as a BDC (defined below) under the Act;</w:t>
      </w:r>
    </w:p>
    <w:p>
      <w:pPr>
        <w:spacing w:after="0" w:line="67" w:lineRule="exact"/>
        <w:rPr>
          <w:rFonts w:ascii="Times New Roman" w:cs="Times New Roman" w:eastAsia="Times New Roman" w:hAnsi="Times New Roman"/>
          <w:sz w:val="18"/>
          <w:szCs w:val="18"/>
          <w:color w:val="auto"/>
        </w:rPr>
      </w:pPr>
    </w:p>
    <w:p>
      <w:pPr>
        <w:ind w:left="800" w:right="159" w:hanging="343"/>
        <w:spacing w:after="0" w:line="282" w:lineRule="auto"/>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BDC II, an externally managed, non-diversified closed-end investment company that has elected to be regulated as a BDC (defined below) under the Act;</w:t>
      </w:r>
    </w:p>
    <w:p>
      <w:pPr>
        <w:spacing w:after="0" w:line="67" w:lineRule="exact"/>
        <w:rPr>
          <w:rFonts w:ascii="Times New Roman" w:cs="Times New Roman" w:eastAsia="Times New Roman" w:hAnsi="Times New Roman"/>
          <w:sz w:val="18"/>
          <w:szCs w:val="18"/>
          <w:color w:val="auto"/>
        </w:rPr>
      </w:pPr>
    </w:p>
    <w:p>
      <w:pPr>
        <w:ind w:left="800" w:right="99" w:hanging="343"/>
        <w:spacing w:after="0" w:line="282" w:lineRule="auto"/>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BDC III, an externally managed, non-diversified closed-end investment company that has elected to be regulated as a BDC (defined below) under the Act;</w:t>
      </w:r>
    </w:p>
    <w:p>
      <w:pPr>
        <w:spacing w:after="0" w:line="67" w:lineRule="exact"/>
        <w:rPr>
          <w:rFonts w:ascii="Times New Roman" w:cs="Times New Roman" w:eastAsia="Times New Roman" w:hAnsi="Times New Roman"/>
          <w:sz w:val="18"/>
          <w:szCs w:val="18"/>
          <w:color w:val="auto"/>
        </w:rPr>
      </w:pPr>
    </w:p>
    <w:p>
      <w:pPr>
        <w:ind w:left="800" w:hanging="343"/>
        <w:spacing w:after="0"/>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CTAC, a non-diversified closed-end management company that is operated as an interval fund;</w:t>
      </w:r>
    </w:p>
    <w:p>
      <w:pPr>
        <w:spacing w:after="0" w:line="126" w:lineRule="exact"/>
        <w:rPr>
          <w:rFonts w:ascii="Times New Roman" w:cs="Times New Roman" w:eastAsia="Times New Roman" w:hAnsi="Times New Roman"/>
          <w:sz w:val="18"/>
          <w:szCs w:val="18"/>
          <w:color w:val="auto"/>
        </w:rPr>
      </w:pPr>
    </w:p>
    <w:p>
      <w:pPr>
        <w:ind w:left="800" w:right="159" w:hanging="343"/>
        <w:spacing w:after="0" w:line="257" w:lineRule="auto"/>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Credit Investment Management L.L.C. (“</w:t>
      </w:r>
      <w:r>
        <w:rPr>
          <w:rFonts w:ascii="Times New Roman" w:cs="Times New Roman" w:eastAsia="Times New Roman" w:hAnsi="Times New Roman"/>
          <w:sz w:val="18"/>
          <w:szCs w:val="18"/>
          <w:b w:val="1"/>
          <w:bCs w:val="1"/>
          <w:i w:val="1"/>
          <w:iCs w:val="1"/>
          <w:color w:val="auto"/>
        </w:rPr>
        <w:t>CGCIM</w:t>
      </w:r>
      <w:r>
        <w:rPr>
          <w:rFonts w:ascii="Times New Roman" w:cs="Times New Roman" w:eastAsia="Times New Roman" w:hAnsi="Times New Roman"/>
          <w:sz w:val="18"/>
          <w:szCs w:val="18"/>
          <w:color w:val="auto"/>
        </w:rPr>
        <w:t>”), an investment adviser registered with the Commission under the Investment Advisers Act of 1940, as amended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 xml:space="preserve">”), which serves as the investment adviser to each of BDC I, BDC II, BDC III, CTAC and the Private Credit Existing CGCIM-Advised Fund (as defined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and will serve as the investment adviser to each of the Private Credit Existing Non-CGCIM-Advised Funds, the Structured Credit Non-CLO Fund, the Energy Credit Existing Affiliated Funds, the Opportunistic Credit Existing Affiliated Funds, the Distressed Credit Existing Affiliated Funds and the Infrastructure Credit Fund (each as defined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prior to the effectiveness of the Order, on behalf of itself and its successors;</w:t>
      </w:r>
      <w:r>
        <w:rPr>
          <w:rFonts w:ascii="Times New Roman" w:cs="Times New Roman" w:eastAsia="Times New Roman" w:hAnsi="Times New Roman"/>
          <w:sz w:val="26"/>
          <w:szCs w:val="26"/>
          <w:color w:val="auto"/>
          <w:vertAlign w:val="superscript"/>
        </w:rPr>
        <w:t>5</w:t>
      </w:r>
    </w:p>
    <w:p>
      <w:pPr>
        <w:spacing w:after="0" w:line="1" w:lineRule="exact"/>
        <w:rPr>
          <w:rFonts w:ascii="Times New Roman" w:cs="Times New Roman" w:eastAsia="Times New Roman" w:hAnsi="Times New Roman"/>
          <w:sz w:val="18"/>
          <w:szCs w:val="18"/>
          <w:color w:val="auto"/>
        </w:rPr>
      </w:pPr>
    </w:p>
    <w:p>
      <w:pPr>
        <w:ind w:left="800" w:right="299" w:hanging="343"/>
        <w:spacing w:after="0" w:line="258" w:lineRule="auto"/>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CSL III Advisor, LLC (“</w:t>
      </w:r>
      <w:r>
        <w:rPr>
          <w:rFonts w:ascii="Times New Roman" w:cs="Times New Roman" w:eastAsia="Times New Roman" w:hAnsi="Times New Roman"/>
          <w:sz w:val="18"/>
          <w:szCs w:val="18"/>
          <w:b w:val="1"/>
          <w:bCs w:val="1"/>
          <w:color w:val="auto"/>
        </w:rPr>
        <w:t>CSL III</w:t>
      </w:r>
      <w:r>
        <w:rPr>
          <w:rFonts w:ascii="Times New Roman" w:cs="Times New Roman" w:eastAsia="Times New Roman" w:hAnsi="Times New Roman"/>
          <w:sz w:val="18"/>
          <w:szCs w:val="18"/>
          <w:color w:val="auto"/>
        </w:rPr>
        <w:t>”), an investment adviser registered with the Commission under the Advisers Act, which serves as the investment adviser to BDC III, on behalf of itself and its successors;</w:t>
      </w:r>
    </w:p>
    <w:p>
      <w:pPr>
        <w:spacing w:after="0" w:line="88" w:lineRule="exact"/>
        <w:rPr>
          <w:rFonts w:ascii="Times New Roman" w:cs="Times New Roman" w:eastAsia="Times New Roman" w:hAnsi="Times New Roman"/>
          <w:sz w:val="18"/>
          <w:szCs w:val="18"/>
          <w:color w:val="auto"/>
        </w:rPr>
      </w:pPr>
    </w:p>
    <w:p>
      <w:pPr>
        <w:ind w:left="800" w:right="139" w:hanging="343"/>
        <w:spacing w:after="0" w:line="258" w:lineRule="auto"/>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Private Credit Existing Affiliated Funds, the Structured Credit Existing Affiliated Funds, the Energy Credit Existing Affiliated Funds, the Opportunistic Credit Existing Affiliated Funds, the Distressed Credit Existing Affiliated Funds, the Infrastructure Credit Fund and the European CLOs (each as defined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which is a separate and distinct legal entity and each of which would be an investment company but for Section 3(c)(1) or 3(c)(7) of the Act (the “</w:t>
      </w:r>
      <w:r>
        <w:rPr>
          <w:rFonts w:ascii="Times New Roman" w:cs="Times New Roman" w:eastAsia="Times New Roman" w:hAnsi="Times New Roman"/>
          <w:sz w:val="18"/>
          <w:szCs w:val="18"/>
          <w:b w:val="1"/>
          <w:bCs w:val="1"/>
          <w:i w:val="1"/>
          <w:iCs w:val="1"/>
          <w:color w:val="auto"/>
        </w:rPr>
        <w:t>Existing Affiliated Funds</w:t>
      </w:r>
      <w:r>
        <w:rPr>
          <w:rFonts w:ascii="Times New Roman" w:cs="Times New Roman" w:eastAsia="Times New Roman" w:hAnsi="Times New Roman"/>
          <w:sz w:val="18"/>
          <w:szCs w:val="18"/>
          <w:color w:val="auto"/>
        </w:rPr>
        <w:t>”);</w:t>
      </w:r>
    </w:p>
    <w:p>
      <w:pPr>
        <w:spacing w:after="0" w:line="84" w:lineRule="exact"/>
        <w:rPr>
          <w:rFonts w:ascii="Times New Roman" w:cs="Times New Roman" w:eastAsia="Times New Roman" w:hAnsi="Times New Roman"/>
          <w:sz w:val="18"/>
          <w:szCs w:val="18"/>
          <w:color w:val="auto"/>
        </w:rPr>
      </w:pPr>
    </w:p>
    <w:p>
      <w:pPr>
        <w:jc w:val="both"/>
        <w:ind w:left="800" w:right="199" w:hanging="343"/>
        <w:spacing w:after="0" w:line="268" w:lineRule="auto"/>
        <w:tabs>
          <w:tab w:leader="none" w:pos="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CELF Advisors LLP (the “</w:t>
      </w:r>
      <w:r>
        <w:rPr>
          <w:rFonts w:ascii="Times New Roman" w:cs="Times New Roman" w:eastAsia="Times New Roman" w:hAnsi="Times New Roman"/>
          <w:sz w:val="18"/>
          <w:szCs w:val="18"/>
          <w:b w:val="1"/>
          <w:bCs w:val="1"/>
          <w:i w:val="1"/>
          <w:iCs w:val="1"/>
          <w:color w:val="auto"/>
        </w:rPr>
        <w:t>European Manager</w:t>
      </w:r>
      <w:r>
        <w:rPr>
          <w:rFonts w:ascii="Times New Roman" w:cs="Times New Roman" w:eastAsia="Times New Roman" w:hAnsi="Times New Roman"/>
          <w:sz w:val="18"/>
          <w:szCs w:val="18"/>
          <w:color w:val="auto"/>
        </w:rPr>
        <w:t>”), which (a) is under common control with CGCIM, an exempt reporting adviser that manages the European CLOs (as defined in Schedule A hereto), on behalf of itself and its successors;</w:t>
      </w:r>
    </w:p>
    <w:p>
      <w:pPr>
        <w:spacing w:after="0" w:line="76" w:lineRule="exact"/>
        <w:rPr>
          <w:rFonts w:ascii="Times New Roman" w:cs="Times New Roman" w:eastAsia="Times New Roman" w:hAnsi="Times New Roman"/>
          <w:sz w:val="18"/>
          <w:szCs w:val="18"/>
          <w:color w:val="auto"/>
        </w:rPr>
      </w:pPr>
    </w:p>
    <w:p>
      <w:pPr>
        <w:ind w:left="800" w:right="219" w:hanging="343"/>
        <w:spacing w:after="0" w:line="274" w:lineRule="auto"/>
        <w:tabs>
          <w:tab w:leader="none" w:pos="8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CLO Management L.L.C. (“</w:t>
      </w:r>
      <w:r>
        <w:rPr>
          <w:rFonts w:ascii="Times New Roman" w:cs="Times New Roman" w:eastAsia="Times New Roman" w:hAnsi="Times New Roman"/>
          <w:sz w:val="17"/>
          <w:szCs w:val="17"/>
          <w:b w:val="1"/>
          <w:bCs w:val="1"/>
          <w:i w:val="1"/>
          <w:iCs w:val="1"/>
          <w:color w:val="auto"/>
        </w:rPr>
        <w:t>Carlyle CLO Manager</w:t>
      </w:r>
      <w:r>
        <w:rPr>
          <w:rFonts w:ascii="Times New Roman" w:cs="Times New Roman" w:eastAsia="Times New Roman" w:hAnsi="Times New Roman"/>
          <w:sz w:val="17"/>
          <w:szCs w:val="17"/>
          <w:color w:val="auto"/>
        </w:rPr>
        <w:t>” and, together with CGCIM, CSL III and the European Manager, the “</w:t>
      </w:r>
      <w:r>
        <w:rPr>
          <w:rFonts w:ascii="Times New Roman" w:cs="Times New Roman" w:eastAsia="Times New Roman" w:hAnsi="Times New Roman"/>
          <w:sz w:val="17"/>
          <w:szCs w:val="17"/>
          <w:b w:val="1"/>
          <w:bCs w:val="1"/>
          <w:i w:val="1"/>
          <w:iCs w:val="1"/>
          <w:color w:val="auto"/>
        </w:rPr>
        <w:t>Existing Advisers</w:t>
      </w:r>
      <w:r>
        <w:rPr>
          <w:rFonts w:ascii="Times New Roman" w:cs="Times New Roman" w:eastAsia="Times New Roman" w:hAnsi="Times New Roman"/>
          <w:sz w:val="17"/>
          <w:szCs w:val="17"/>
          <w:color w:val="auto"/>
        </w:rPr>
        <w:t>”), which (a) is under common control with CGCIM, (b) is a relying adviser of an investment adviser that (i) is registered with the Commission and (ii) that controls CGCIM, and</w:t>
      </w:r>
    </w:p>
    <w:p>
      <w:pPr>
        <w:ind w:left="800" w:right="33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manages the Structured Credit Existing CLOs (as defined in Schedule A hereto), on behalf of itself and its successors;</w:t>
      </w:r>
    </w:p>
    <w:p>
      <w:pPr>
        <w:spacing w:after="0" w:line="82" w:lineRule="exact"/>
        <w:rPr>
          <w:rFonts w:ascii="Times New Roman" w:cs="Times New Roman" w:eastAsia="Times New Roman" w:hAnsi="Times New Roman"/>
          <w:sz w:val="17"/>
          <w:szCs w:val="17"/>
          <w:color w:val="auto"/>
        </w:rPr>
      </w:pPr>
    </w:p>
    <w:p>
      <w:pPr>
        <w:ind w:left="800" w:right="39" w:hanging="343"/>
        <w:spacing w:after="0" w:line="282" w:lineRule="auto"/>
        <w:tabs>
          <w:tab w:leader="none" w:pos="8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TCG BDC SPV LLC (“</w:t>
      </w:r>
      <w:r>
        <w:rPr>
          <w:rFonts w:ascii="Times New Roman" w:cs="Times New Roman" w:eastAsia="Times New Roman" w:hAnsi="Times New Roman"/>
          <w:sz w:val="17"/>
          <w:szCs w:val="17"/>
          <w:b w:val="1"/>
          <w:bCs w:val="1"/>
          <w:i w:val="1"/>
          <w:iCs w:val="1"/>
          <w:color w:val="auto"/>
        </w:rPr>
        <w:t>BDC I Sub</w:t>
      </w:r>
      <w:r>
        <w:rPr>
          <w:rFonts w:ascii="Times New Roman" w:cs="Times New Roman" w:eastAsia="Times New Roman" w:hAnsi="Times New Roman"/>
          <w:sz w:val="17"/>
          <w:szCs w:val="17"/>
          <w:color w:val="auto"/>
        </w:rPr>
        <w:t>”), a wholly-owned subsidiary controlled by BDC I, Carlyle Credit Solutions SPV LLC (“</w:t>
      </w:r>
      <w:r>
        <w:rPr>
          <w:rFonts w:ascii="Times New Roman" w:cs="Times New Roman" w:eastAsia="Times New Roman" w:hAnsi="Times New Roman"/>
          <w:sz w:val="17"/>
          <w:szCs w:val="17"/>
          <w:b w:val="1"/>
          <w:bCs w:val="1"/>
          <w:i w:val="1"/>
          <w:iCs w:val="1"/>
          <w:color w:val="auto"/>
        </w:rPr>
        <w:t>BDC II Sub</w:t>
      </w:r>
      <w:r>
        <w:rPr>
          <w:rFonts w:ascii="Times New Roman" w:cs="Times New Roman" w:eastAsia="Times New Roman" w:hAnsi="Times New Roman"/>
          <w:sz w:val="17"/>
          <w:szCs w:val="17"/>
          <w:color w:val="auto"/>
        </w:rPr>
        <w:t>”), a wholly-owned subsidiary controlled by BDC II and Carlyle Credit Solutions SPV 2 LLC, wholly-owned subsidiary controlled by BDC II (“</w:t>
      </w:r>
      <w:r>
        <w:rPr>
          <w:rFonts w:ascii="Times New Roman" w:cs="Times New Roman" w:eastAsia="Times New Roman" w:hAnsi="Times New Roman"/>
          <w:sz w:val="17"/>
          <w:szCs w:val="17"/>
          <w:b w:val="1"/>
          <w:bCs w:val="1"/>
          <w:i w:val="1"/>
          <w:iCs w:val="1"/>
          <w:color w:val="auto"/>
        </w:rPr>
        <w:t>BDC II Sub2</w:t>
      </w:r>
      <w:r>
        <w:rPr>
          <w:rFonts w:ascii="Times New Roman" w:cs="Times New Roman" w:eastAsia="Times New Roman" w:hAnsi="Times New Roman"/>
          <w:sz w:val="17"/>
          <w:szCs w:val="17"/>
          <w:color w:val="auto"/>
        </w:rPr>
        <w:t>”), OCPC Credit Facility SPV LLC, a wholly-owned subsidiary controlled by CTAC (“CTAC SPV”) (the “</w:t>
      </w:r>
      <w:r>
        <w:rPr>
          <w:rFonts w:ascii="Times New Roman" w:cs="Times New Roman" w:eastAsia="Times New Roman" w:hAnsi="Times New Roman"/>
          <w:sz w:val="17"/>
          <w:szCs w:val="17"/>
          <w:b w:val="1"/>
          <w:bCs w:val="1"/>
          <w:i w:val="1"/>
          <w:iCs w:val="1"/>
          <w:color w:val="auto"/>
        </w:rPr>
        <w:t>Existing Wholly-Owned Investment Subs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625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18" w:lineRule="exact"/>
        <w:rPr>
          <w:sz w:val="20"/>
          <w:szCs w:val="20"/>
          <w:color w:val="auto"/>
        </w:rPr>
      </w:pPr>
    </w:p>
    <w:p>
      <w:pPr>
        <w:jc w:val="both"/>
        <w:ind w:left="360" w:right="199" w:hanging="349"/>
        <w:spacing w:after="0" w:line="220" w:lineRule="auto"/>
        <w:tabs>
          <w:tab w:leader="none" w:pos="36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 Regulated Fund (as defined below) or Affiliated Fund (as defined below) that relies on this Order will rely on any other order of the Commission authorizing co-investment transactions pursuant to Sections 17(d) and 57(i) of the Act and no entity that relies on another such order of the Commission will rely on this Order.</w:t>
      </w:r>
    </w:p>
    <w:p>
      <w:pPr>
        <w:ind w:left="360" w:hanging="349"/>
        <w:spacing w:after="0" w:line="182" w:lineRule="auto"/>
        <w:tabs>
          <w:tab w:leader="none" w:pos="3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Carlyle Secured Lending, Inc. (f/k/a TCG BDC, Inc.), et al., (File No. 812-14798) Release No. IC-32969 (order) (Jan.</w:t>
      </w:r>
    </w:p>
    <w:p>
      <w:pPr>
        <w:spacing w:after="0" w:line="198" w:lineRule="exact"/>
        <w:rPr>
          <w:sz w:val="20"/>
          <w:szCs w:val="20"/>
          <w:color w:val="auto"/>
        </w:rPr>
      </w:pPr>
    </w:p>
    <w:p>
      <w:pPr>
        <w:ind w:left="360" w:right="299" w:hanging="349"/>
        <w:spacing w:after="0" w:line="208" w:lineRule="auto"/>
        <w:tabs>
          <w:tab w:leader="none" w:pos="360"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the purposes of the requested Order, a “successor” includes an entity or entities that result from a reorganization into another jurisdiction or a change in the type of business organization.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019"/>
          </w:cols>
          <w:pgMar w:left="1440" w:top="270" w:right="1440" w:bottom="1440" w:gutter="0" w:footer="0" w:header="0"/>
        </w:sectPr>
      </w:pPr>
    </w:p>
    <w:bookmarkStart w:id="9" w:name="page10"/>
    <w:bookmarkEnd w:id="9"/>
    <w:p>
      <w:pPr>
        <w:ind w:left="800" w:right="79" w:hanging="343"/>
        <w:spacing w:after="0" w:line="268"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TCG Capital Markets L.L.C. (“</w:t>
      </w:r>
      <w:r>
        <w:rPr>
          <w:rFonts w:ascii="Times New Roman" w:cs="Times New Roman" w:eastAsia="Times New Roman" w:hAnsi="Times New Roman"/>
          <w:sz w:val="18"/>
          <w:szCs w:val="18"/>
          <w:b w:val="1"/>
          <w:bCs w:val="1"/>
          <w:i w:val="1"/>
          <w:iCs w:val="1"/>
          <w:color w:val="auto"/>
        </w:rPr>
        <w:t>TCG Capital Markets</w:t>
      </w:r>
      <w:r>
        <w:rPr>
          <w:rFonts w:ascii="Times New Roman" w:cs="Times New Roman" w:eastAsia="Times New Roman" w:hAnsi="Times New Roman"/>
          <w:sz w:val="18"/>
          <w:szCs w:val="18"/>
          <w:color w:val="auto"/>
        </w:rPr>
        <w:t>”), a majority owned subsidiary of The Carlyle Group L.P. (“</w:t>
      </w:r>
      <w:r>
        <w:rPr>
          <w:rFonts w:ascii="Times New Roman" w:cs="Times New Roman" w:eastAsia="Times New Roman" w:hAnsi="Times New Roman"/>
          <w:sz w:val="18"/>
          <w:szCs w:val="18"/>
          <w:b w:val="1"/>
          <w:bCs w:val="1"/>
          <w:i w:val="1"/>
          <w:iCs w:val="1"/>
          <w:color w:val="auto"/>
        </w:rPr>
        <w:t>Carlyle</w:t>
      </w:r>
      <w:r>
        <w:rPr>
          <w:rFonts w:ascii="Times New Roman" w:cs="Times New Roman" w:eastAsia="Times New Roman" w:hAnsi="Times New Roman"/>
          <w:sz w:val="18"/>
          <w:szCs w:val="18"/>
          <w:color w:val="auto"/>
        </w:rPr>
        <w:t>”) that is registered with the Commission as a broker-dealer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w:t>
      </w:r>
    </w:p>
    <w:p>
      <w:pPr>
        <w:spacing w:after="0" w:line="76" w:lineRule="exact"/>
        <w:rPr>
          <w:rFonts w:ascii="Times New Roman" w:cs="Times New Roman" w:eastAsia="Times New Roman" w:hAnsi="Times New Roman"/>
          <w:sz w:val="18"/>
          <w:szCs w:val="18"/>
          <w:color w:val="auto"/>
        </w:rPr>
      </w:pPr>
    </w:p>
    <w:p>
      <w:pPr>
        <w:ind w:left="800" w:right="119" w:hanging="343"/>
        <w:spacing w:after="0" w:line="268" w:lineRule="auto"/>
        <w:tabs>
          <w:tab w:leader="none" w:pos="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TCG Senior Funding L.L.C. (“</w:t>
      </w:r>
      <w:r>
        <w:rPr>
          <w:rFonts w:ascii="Times New Roman" w:cs="Times New Roman" w:eastAsia="Times New Roman" w:hAnsi="Times New Roman"/>
          <w:sz w:val="18"/>
          <w:szCs w:val="18"/>
          <w:b w:val="1"/>
          <w:bCs w:val="1"/>
          <w:i w:val="1"/>
          <w:iCs w:val="1"/>
          <w:color w:val="auto"/>
        </w:rPr>
        <w:t>TCG Senior Funding</w:t>
      </w:r>
      <w:r>
        <w:rPr>
          <w:rFonts w:ascii="Times New Roman" w:cs="Times New Roman" w:eastAsia="Times New Roman" w:hAnsi="Times New Roman"/>
          <w:sz w:val="18"/>
          <w:szCs w:val="18"/>
          <w:color w:val="auto"/>
        </w:rPr>
        <w:t>” and, together with BDC I, BDC II, BDC III, CTAC, the Existing Advisers, the Existing Affiliated Funds, the Existing Wholly-Owned Investment Subs and TCG Capital Markets, the “</w:t>
      </w:r>
      <w:r>
        <w:rPr>
          <w:rFonts w:ascii="Times New Roman" w:cs="Times New Roman" w:eastAsia="Times New Roman" w:hAnsi="Times New Roman"/>
          <w:sz w:val="18"/>
          <w:szCs w:val="18"/>
          <w:b w:val="1"/>
          <w:bCs w:val="1"/>
          <w:i w:val="1"/>
          <w:iCs w:val="1"/>
          <w:color w:val="auto"/>
        </w:rPr>
        <w:t>Applicants</w:t>
      </w:r>
      <w:r>
        <w:rPr>
          <w:rFonts w:ascii="Times New Roman" w:cs="Times New Roman" w:eastAsia="Times New Roman" w:hAnsi="Times New Roman"/>
          <w:sz w:val="18"/>
          <w:szCs w:val="18"/>
          <w:color w:val="auto"/>
        </w:rPr>
        <w:t>”), a majority-owned subsidiary of Carlyle.</w:t>
      </w:r>
    </w:p>
    <w:p>
      <w:pPr>
        <w:spacing w:after="0" w:line="323" w:lineRule="exact"/>
        <w:rPr>
          <w:rFonts w:ascii="Times New Roman" w:cs="Times New Roman" w:eastAsia="Times New Roman" w:hAnsi="Times New Roman"/>
          <w:sz w:val="18"/>
          <w:szCs w:val="18"/>
          <w:color w:val="auto"/>
        </w:rPr>
      </w:pPr>
    </w:p>
    <w:p>
      <w:pPr>
        <w:ind w:left="360" w:hanging="349"/>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p>
    <w:p>
      <w:pPr>
        <w:spacing w:after="0" w:line="113" w:lineRule="exact"/>
        <w:rPr>
          <w:sz w:val="20"/>
          <w:szCs w:val="20"/>
          <w:color w:val="auto"/>
        </w:rPr>
      </w:pPr>
    </w:p>
    <w:p>
      <w:pPr>
        <w:ind w:left="20" w:right="7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xml:space="preserve">” means any Existing Adviser and any Future Adviser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Adviser serving as a sub-adviser to an Affiliated Fund is included in this term only if such Adviser controls the entity. The term Adviser does not include any primary investment adviser to an Affiliated Fund (defined below) or a Regulated Fund (defined below) whose sub-adviser is an Adviser, except that such primary investment adviser is deemed to be an Adviser for purposes of Conditions 2(c)(iv), 13 and 14 only. The primary investment adviser to an Affiliated Fund or a Regulated Fund whose sub-adviser is an Adviser will not source any Potential Co-Investment Transactions under the requested Order.</w:t>
      </w:r>
    </w:p>
    <w:p>
      <w:pPr>
        <w:spacing w:after="0" w:line="182" w:lineRule="exact"/>
        <w:rPr>
          <w:sz w:val="20"/>
          <w:szCs w:val="20"/>
          <w:color w:val="auto"/>
        </w:rPr>
      </w:pPr>
    </w:p>
    <w:p>
      <w:pPr>
        <w:ind w:left="20" w:right="99"/>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Affiliated Fund</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means (a) any Existing Affiliated Fund, any Capital Markets Affiliate (as defined below) and (b) any entity (i) whose investment adviser or sub-adviser is an Adviser, (ii) that either (x) would be an investment company but for Section 3(c)(1), 3(c)(5)(C) or 3(c)(7) of the Act or (y) relies on Rule 3a-7 under the Act and (iii) that is not a BDC Downstream Fund (together with each such entity’s direct and indirect wholly-owned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entity sub-advised by an Adviser is not included in this term if: (i) such Adviser serving as sub-adviser does not control the entity, and (ii) the primary investment adviser is not an Adviser.</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w:t>
      </w:r>
      <w:r>
        <w:rPr>
          <w:rFonts w:ascii="Times New Roman" w:cs="Times New Roman" w:eastAsia="Times New Roman" w:hAnsi="Times New Roman"/>
          <w:sz w:val="18"/>
          <w:szCs w:val="18"/>
          <w:color w:val="auto"/>
        </w:rPr>
        <w:t>” means a business development company under the Act.</w:t>
      </w:r>
      <w:r>
        <w:rPr>
          <w:rFonts w:ascii="Times New Roman" w:cs="Times New Roman" w:eastAsia="Times New Roman" w:hAnsi="Times New Roman"/>
          <w:sz w:val="26"/>
          <w:szCs w:val="26"/>
          <w:color w:val="auto"/>
          <w:vertAlign w:val="superscript"/>
        </w:rPr>
        <w:t>7</w:t>
      </w:r>
    </w:p>
    <w:p>
      <w:pPr>
        <w:spacing w:after="0" w:line="133" w:lineRule="exact"/>
        <w:rPr>
          <w:sz w:val="20"/>
          <w:szCs w:val="20"/>
          <w:color w:val="auto"/>
        </w:rPr>
      </w:pPr>
    </w:p>
    <w:p>
      <w:pPr>
        <w:ind w:left="20" w:right="7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BDC Downstream Fund</w:t>
      </w:r>
      <w:r>
        <w:rPr>
          <w:rFonts w:ascii="Times New Roman" w:cs="Times New Roman" w:eastAsia="Times New Roman" w:hAnsi="Times New Roman"/>
          <w:sz w:val="18"/>
          <w:szCs w:val="18"/>
          <w:color w:val="auto"/>
        </w:rPr>
        <w:t>” means with respect to any Regulated Fund that is a BDC, an entity (a) that the BDC directly or indirectly controls, (b) that is not controlled by any person other than the BDC (except a person that indirectly controls the entity solely because it controls the BDC), (c) that would be an investment company but for Section 3(c)(1) or 3(c)(7) of the Act, (d) whose investment adviser is an Adviser and (e) that is not a Wholly-Owned Investment Sub.</w:t>
      </w:r>
    </w:p>
    <w:p>
      <w:pPr>
        <w:spacing w:after="0" w:line="176" w:lineRule="exact"/>
        <w:rPr>
          <w:sz w:val="20"/>
          <w:szCs w:val="20"/>
          <w:color w:val="auto"/>
        </w:rPr>
      </w:pPr>
    </w:p>
    <w:p>
      <w:pPr>
        <w:ind w:left="20" w:right="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(a) with respect to a Regulated Fund other than a BDC Downstream Fund, the board of directors (or the equivalent) of the Regulated Fund and (b) with respect to a BDC Downstream Fund, the Independent Party (defined below) of the BDC Downstream Fund.</w:t>
      </w:r>
    </w:p>
    <w:p>
      <w:pPr>
        <w:spacing w:after="0" w:line="171" w:lineRule="exact"/>
        <w:rPr>
          <w:sz w:val="20"/>
          <w:szCs w:val="20"/>
          <w:color w:val="auto"/>
        </w:rPr>
      </w:pPr>
    </w:p>
    <w:p>
      <w:pPr>
        <w:ind w:left="20" w:right="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Board-Established Criteria</w:t>
      </w:r>
      <w:r>
        <w:rPr>
          <w:rFonts w:ascii="Times New Roman" w:cs="Times New Roman" w:eastAsia="Times New Roman" w:hAnsi="Times New Roman"/>
          <w:sz w:val="18"/>
          <w:szCs w:val="18"/>
          <w:color w:val="auto"/>
        </w:rPr>
        <w:t>” means criteria that the Board of a Regulated Fund may establish from time to time to describe the characteristics of Potential Co-Investment Transactions regarding which the Adviser to the Regulated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254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08" w:lineRule="exact"/>
        <w:rPr>
          <w:sz w:val="20"/>
          <w:szCs w:val="20"/>
          <w:color w:val="auto"/>
        </w:rPr>
      </w:pPr>
    </w:p>
    <w:p>
      <w:pPr>
        <w:ind w:left="360" w:right="79" w:hanging="349"/>
        <w:spacing w:after="0" w:line="241" w:lineRule="auto"/>
        <w:tabs>
          <w:tab w:leader="none" w:pos="36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Affiliated Funds may include funds that are ultimately structured as collateralized loan obligation funds (“</w:t>
      </w:r>
      <w:r>
        <w:rPr>
          <w:rFonts w:ascii="Times New Roman" w:cs="Times New Roman" w:eastAsia="Times New Roman" w:hAnsi="Times New Roman"/>
          <w:sz w:val="18"/>
          <w:szCs w:val="18"/>
          <w:b w:val="1"/>
          <w:bCs w:val="1"/>
          <w:i w:val="1"/>
          <w:iCs w:val="1"/>
          <w:color w:val="auto"/>
        </w:rPr>
        <w:t>CLOs</w:t>
      </w:r>
      <w:r>
        <w:rPr>
          <w:rFonts w:ascii="Times New Roman" w:cs="Times New Roman" w:eastAsia="Times New Roman" w:hAnsi="Times New Roman"/>
          <w:sz w:val="18"/>
          <w:szCs w:val="18"/>
          <w:color w:val="auto"/>
        </w:rPr>
        <w:t>”). Such CLOs would be investment companies but for the exception provided in Section 3(c)(7) of the Act or their ability to rely on Rule 3a-7 of the Act. During the investment period of a CLO, the CLO may engage in certain transactions customary in CLO formations with another Affiliated Fund on a secondary basis at fair market value. For purposes of the Order, any securities that were acquired by an Affiliated Fund in a particular Co-Investment Transaction that are then transferred in such customary transactions to an Affiliated Fund that is or will become a CLO (an “</w:t>
      </w:r>
      <w:r>
        <w:rPr>
          <w:rFonts w:ascii="Times New Roman" w:cs="Times New Roman" w:eastAsia="Times New Roman" w:hAnsi="Times New Roman"/>
          <w:sz w:val="18"/>
          <w:szCs w:val="18"/>
          <w:b w:val="1"/>
          <w:bCs w:val="1"/>
          <w:i w:val="1"/>
          <w:iCs w:val="1"/>
          <w:color w:val="auto"/>
        </w:rPr>
        <w:t>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Fund CLO</w:t>
      </w:r>
      <w:r>
        <w:rPr>
          <w:rFonts w:ascii="Times New Roman" w:cs="Times New Roman" w:eastAsia="Times New Roman" w:hAnsi="Times New Roman"/>
          <w:sz w:val="18"/>
          <w:szCs w:val="18"/>
          <w:color w:val="auto"/>
        </w:rPr>
        <w:t>”) will be treated as if the Affiliated Fund CLO acquired such securities in the Co-Investment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avoidance of doubt, any such transfer from an Affiliated Fund to an Affiliated Fund CLO will be treated as a Disposition and completed pursuant to terms and conditions of the Application, though Applicants note that the Regulated Funds would be prohibited from participating in such Disposition by Section 17(a)(2) or Section 57(a)(2) of the Act, as applicable. The participation by any Affiliated Fund CLO in any such Co-Investment Transaction will</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remain subject to the Order.</w:t>
      </w:r>
    </w:p>
    <w:p>
      <w:pPr>
        <w:spacing w:after="0" w:line="9" w:lineRule="exact"/>
        <w:rPr>
          <w:sz w:val="20"/>
          <w:szCs w:val="20"/>
          <w:color w:val="auto"/>
        </w:rPr>
      </w:pPr>
    </w:p>
    <w:p>
      <w:pPr>
        <w:ind w:left="360" w:right="279" w:hanging="349"/>
        <w:spacing w:after="0" w:line="214" w:lineRule="auto"/>
        <w:tabs>
          <w:tab w:leader="none" w:pos="360"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Section 2(a)(48) defines a BDC to be any closed-end investment company that operates for the purpose of making investments in securities described in Sections 55(a)(1) through 55(a)(3) and makes available significant managerial assistance with respect to the issuers of such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019"/>
          </w:cols>
          <w:pgMar w:left="1440" w:top="266" w:right="1440" w:bottom="1440" w:gutter="0" w:footer="0" w:header="0"/>
        </w:sectPr>
      </w:pPr>
    </w:p>
    <w:bookmarkStart w:id="10" w:name="page11"/>
    <w:bookmarkEnd w:id="10"/>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 should be notified under Condition 1. The Board-Established Criteria will be consistent with the Regulated Fund’s Objectives and Strategies. If no Board-Established Criteria are in effect, then the Regulated Fund’s Adviser will be notified of all Potential Co-Investment Transactions that fall within the Regulated Fund’s then-current Objectives and Strategies. Board-Established Criteria will be objective and testable, meaning that they will be based on observable information, such as industry/sector of the issuer, minimum earnings before interest, taxes, depreciation and amortization (“</w:t>
      </w:r>
      <w:r>
        <w:rPr>
          <w:rFonts w:ascii="Times New Roman" w:cs="Times New Roman" w:eastAsia="Times New Roman" w:hAnsi="Times New Roman"/>
          <w:sz w:val="18"/>
          <w:szCs w:val="18"/>
          <w:b w:val="1"/>
          <w:bCs w:val="1"/>
          <w:i w:val="1"/>
          <w:iCs w:val="1"/>
          <w:color w:val="auto"/>
        </w:rPr>
        <w:t>EBITDA</w:t>
      </w:r>
      <w:r>
        <w:rPr>
          <w:rFonts w:ascii="Times New Roman" w:cs="Times New Roman" w:eastAsia="Times New Roman" w:hAnsi="Times New Roman"/>
          <w:sz w:val="18"/>
          <w:szCs w:val="18"/>
          <w:color w:val="auto"/>
        </w:rPr>
        <w:t>”) of the issuer, asset class of the investment opportunity or required commitment size, and not on characteristics that involve a discretionary assessment. The Adviser to the Regulated Fund may from time to time recommend criteria for the Board’s consideration, but Board-Established Criteria will only become effective if approved by a majority of the Independent Directors. The Independent Directors of a Regulated Fund may at any time rescind, suspend or qualify its approval of any Board-Established Criteria, though Applicants anticipate that, under normal circumstances, the Board would not modify these criteria more often than quarterly.</w:t>
      </w:r>
    </w:p>
    <w:p>
      <w:pPr>
        <w:spacing w:after="0" w:line="1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Markets Affiliate</w:t>
      </w:r>
      <w:r>
        <w:rPr>
          <w:rFonts w:ascii="Times New Roman" w:cs="Times New Roman" w:eastAsia="Times New Roman" w:hAnsi="Times New Roman"/>
          <w:sz w:val="18"/>
          <w:szCs w:val="18"/>
          <w:color w:val="auto"/>
        </w:rPr>
        <w:t>” means any Carlyle Broker-Dealer Subsidiary (defined below) and any Carlyle Proprietary Account (defined below). Each Capital Markets Affiliate may, from time to time, hold various financial assets in a principal capacity.</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Carlyle Broker-Dealer Subsidiary</w:t>
      </w:r>
      <w:r>
        <w:rPr>
          <w:rFonts w:ascii="Times New Roman" w:cs="Times New Roman" w:eastAsia="Times New Roman" w:hAnsi="Times New Roman"/>
          <w:sz w:val="18"/>
          <w:szCs w:val="18"/>
          <w:color w:val="auto"/>
        </w:rPr>
        <w:t>” means (a) (i) any Existing Carlyle Broker-Dealer Subsidiary (defined below) and (ii) any entity that (x) is a wholly- or majority-owned subsidiary of Carlyle and (y) is registered or authorized as a broker-dealer or its foreign equivalent, and (b) any entity that is a wholly-owned subsidiary of an entity described in the preceding clause (a).</w:t>
      </w:r>
    </w:p>
    <w:p>
      <w:pPr>
        <w:spacing w:after="0" w:line="171"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Carlyle Proprietary Account</w:t>
      </w:r>
      <w:r>
        <w:rPr>
          <w:rFonts w:ascii="Times New Roman" w:cs="Times New Roman" w:eastAsia="Times New Roman" w:hAnsi="Times New Roman"/>
          <w:sz w:val="18"/>
          <w:szCs w:val="18"/>
          <w:color w:val="auto"/>
        </w:rPr>
        <w:t>” means (a) TCG Senior Funding, and (b) any entity that (i) is a wholly- or majority-owned subsidiary of Carlyle, (ii) is advised by an Adviser and (iii) from time to time, may hold various financial assets in a principal capacity. For the avoidance of doubt, neither the Regulated Funds nor the Affiliated Funds shall be deemed to be Carlyle Proprietary Accounts for purposes of this Application.</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Affiliate</w:t>
      </w:r>
      <w:r>
        <w:rPr>
          <w:rFonts w:ascii="Times New Roman" w:cs="Times New Roman" w:eastAsia="Times New Roman" w:hAnsi="Times New Roman"/>
          <w:sz w:val="18"/>
          <w:szCs w:val="18"/>
          <w:color w:val="auto"/>
        </w:rPr>
        <w:t>” means the Advisers, the Regulated Funds, the Affiliated Funds, the Capital Markets Affiliates and any other person described in Section 57(b) (after giving effect to Rule 57b-1) in respect of any Regulated Fund (treating any registered investment company or series thereof as a BDC for this purpose) except for limited partners included solely by reason of the reference in Section 57(b) to Section 2(a)(3)(D).</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Co-Investment Transaction</w:t>
      </w:r>
      <w:r>
        <w:rPr>
          <w:rFonts w:ascii="Times New Roman" w:cs="Times New Roman" w:eastAsia="Times New Roman" w:hAnsi="Times New Roman"/>
          <w:sz w:val="18"/>
          <w:szCs w:val="18"/>
          <w:color w:val="auto"/>
        </w:rPr>
        <w:t>” means any transaction in which a Regulated Fund (or its Wholly-Owned Investment Sub) participated together with one or more Affiliated Funds, one or more Capital Markets Affiliates, and/or one or more other Regulated Funds (or its Wholly-Owned Investment Sub) in reliance on the Order.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means the sale, exchange or other disposition of an interest in a security of an issuer.</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Directors</w:t>
      </w:r>
      <w:r>
        <w:rPr>
          <w:rFonts w:ascii="Times New Roman" w:cs="Times New Roman" w:eastAsia="Times New Roman" w:hAnsi="Times New Roman"/>
          <w:sz w:val="18"/>
          <w:szCs w:val="18"/>
          <w:color w:val="auto"/>
        </w:rPr>
        <w:t>” means, with respect to a Regulated Fund and a Potential Co-Investment Transaction, the members of the Regulated Fund’s Board eligible to vote on that Potential Co-Investment Transaction under Section 57(o) of the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Carlyle Broker-Dealer Subsidiary</w:t>
      </w:r>
      <w:r>
        <w:rPr>
          <w:rFonts w:ascii="Times New Roman" w:cs="Times New Roman" w:eastAsia="Times New Roman" w:hAnsi="Times New Roman"/>
          <w:sz w:val="18"/>
          <w:szCs w:val="18"/>
          <w:color w:val="auto"/>
        </w:rPr>
        <w:t>” means TCG Capital Markets.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Regulated Fund</w:t>
      </w:r>
      <w:r>
        <w:rPr>
          <w:rFonts w:ascii="Times New Roman" w:cs="Times New Roman" w:eastAsia="Times New Roman" w:hAnsi="Times New Roman"/>
          <w:sz w:val="18"/>
          <w:szCs w:val="18"/>
          <w:color w:val="auto"/>
        </w:rPr>
        <w:t>” means (a) BDC I, (b) BDC II, (c) from and after its election to be regulated as a BDC under the Act, BDC III and (d) CTAC.</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Follow-On Investment</w:t>
      </w:r>
      <w:r>
        <w:rPr>
          <w:rFonts w:ascii="Times New Roman" w:cs="Times New Roman" w:eastAsia="Times New Roman" w:hAnsi="Times New Roman"/>
          <w:sz w:val="18"/>
          <w:szCs w:val="18"/>
          <w:color w:val="auto"/>
        </w:rPr>
        <w:t>” means (i) with respect to a Regulated Fund, an additional investment in the same issuer in which the Regulated Fund is currently invested; or (ii) with respect to an Affiliated Fund, (X) an additional investment in the same issuer in which the Affiliated Fund and at least one Regulated Fund are currently invested; or (Y) an investment in an issuer in which at least one Regulated Fund is currently invested but in which the Affiliated Fund does not currently have an investment. An investment in an issuer includes, but is not limited to, the exercise of warrants, conversion privileges or other rights to purchase securities of the issuer.</w:t>
      </w:r>
    </w:p>
    <w:p>
      <w:pPr>
        <w:spacing w:after="0" w:line="179"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Future Adviser</w:t>
      </w:r>
      <w:r>
        <w:rPr>
          <w:rFonts w:ascii="Times New Roman" w:cs="Times New Roman" w:eastAsia="Times New Roman" w:hAnsi="Times New Roman"/>
          <w:sz w:val="18"/>
          <w:szCs w:val="18"/>
          <w:color w:val="auto"/>
        </w:rPr>
        <w:t>” means any future investment adviser that (i) controls, is controlled by or is under common control with CGCIM, (ii) (a) is registered as an investment adviser under the Advisers Act, an exempt reporting adviser or a foreign private adviser or (b) is a relying adviser of an investment adviser that is registered under the Advisers Act and that controls, is controlled by or is under common control with CGCIM, and (iii) is not a Regulated Fund or a subsidiary of a Regulated Fund.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270" w:right="359" w:bottom="1440" w:gutter="0" w:footer="0" w:header="0"/>
        </w:sectPr>
      </w:pPr>
    </w:p>
    <w:bookmarkStart w:id="11" w:name="page12"/>
    <w:bookmarkEnd w:id="11"/>
    <w:p>
      <w:pPr>
        <w:ind w:right="32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Future Regulated Fund</w:t>
      </w:r>
      <w:r>
        <w:rPr>
          <w:rFonts w:ascii="Times New Roman" w:cs="Times New Roman" w:eastAsia="Times New Roman" w:hAnsi="Times New Roman"/>
          <w:sz w:val="18"/>
          <w:szCs w:val="18"/>
          <w:color w:val="auto"/>
        </w:rPr>
        <w:t>” means a closed-end management investment company (a) that is registered under the Act or has elected to be regulated as a BDC and (b) whose investment adviser or sub-adviser is an Adviser.</w:t>
      </w:r>
    </w:p>
    <w:p>
      <w:pPr>
        <w:spacing w:after="0" w:line="15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Director</w:t>
      </w:r>
      <w:r>
        <w:rPr>
          <w:rFonts w:ascii="Times New Roman" w:cs="Times New Roman" w:eastAsia="Times New Roman" w:hAnsi="Times New Roman"/>
          <w:sz w:val="18"/>
          <w:szCs w:val="18"/>
          <w:color w:val="auto"/>
        </w:rPr>
        <w:t>” means a member of the Board of any relevant entity who is not an “interested person” as defined in Section 2(a)(19) of the Act. No Independent Director of a Regulated Fund (including any non-interested member of an Independent Party) will have a financial interest in any Co-Investment Transaction, other than indirectly through share ownership in one of the Regulated Funds.</w:t>
      </w:r>
    </w:p>
    <w:p>
      <w:pPr>
        <w:spacing w:after="0" w:line="17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Party</w:t>
      </w:r>
      <w:r>
        <w:rPr>
          <w:rFonts w:ascii="Times New Roman" w:cs="Times New Roman" w:eastAsia="Times New Roman" w:hAnsi="Times New Roman"/>
          <w:sz w:val="18"/>
          <w:szCs w:val="18"/>
          <w:color w:val="auto"/>
        </w:rPr>
        <w:t>” means, with respect to a BDC Downstream Fund, (a) if the BDC Downstream Fund has a board of directors (or the equivalent), the board or (b) if the BDC Downstream Fund does not have a board of directors (or the equivalent), a transaction committee or advisory committee of the BDC Downstream Fund.</w:t>
      </w:r>
    </w:p>
    <w:p>
      <w:pPr>
        <w:spacing w:after="0" w:line="17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JT No-Action Letters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SMC Capital, Inc.</w:t>
      </w:r>
      <w:r>
        <w:rPr>
          <w:rFonts w:ascii="Times New Roman" w:cs="Times New Roman" w:eastAsia="Times New Roman" w:hAnsi="Times New Roman"/>
          <w:sz w:val="18"/>
          <w:szCs w:val="18"/>
          <w:color w:val="auto"/>
        </w:rPr>
        <w:t xml:space="preserve">, SEC Staff No-Action Letter (pub. avail. Sept. 5, 1995) and </w:t>
      </w:r>
      <w:r>
        <w:rPr>
          <w:rFonts w:ascii="Times New Roman" w:cs="Times New Roman" w:eastAsia="Times New Roman" w:hAnsi="Times New Roman"/>
          <w:sz w:val="18"/>
          <w:szCs w:val="18"/>
          <w:u w:val="single" w:color="auto"/>
          <w:color w:val="auto"/>
        </w:rPr>
        <w:t>Massachusetts Mutual Life 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SEC Staff No-Action Letter (pub. avail. June 7, 2000).</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Objectives and Strategies</w:t>
      </w:r>
      <w:r>
        <w:rPr>
          <w:rFonts w:ascii="Times New Roman" w:cs="Times New Roman" w:eastAsia="Times New Roman" w:hAnsi="Times New Roman"/>
          <w:sz w:val="18"/>
          <w:szCs w:val="18"/>
          <w:color w:val="auto"/>
        </w:rPr>
        <w:t>” means (i) with respect to any Regulated Fund other than a BDC Downstream Fund, its investment objectives and strategies, as described in its most current filings with the Commission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Exchange Act, and the Act, and its most current report to stockholders, and (ii) with respect to any BDC Downstream Fund, those investment objectives and strategies described in its disclosure documents (including private placement memoranda and reports to equity holders) and organizational documents (including operating agreements).</w:t>
      </w:r>
    </w:p>
    <w:p>
      <w:pPr>
        <w:spacing w:after="0" w:line="179"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Potential Co-Investment Transaction</w:t>
      </w:r>
      <w:r>
        <w:rPr>
          <w:rFonts w:ascii="Times New Roman" w:cs="Times New Roman" w:eastAsia="Times New Roman" w:hAnsi="Times New Roman"/>
          <w:sz w:val="18"/>
          <w:szCs w:val="18"/>
          <w:color w:val="auto"/>
        </w:rPr>
        <w:t>” means any investment opportunity in which a Regulated Fund (or its Wholly-Owned Investment Sub) could not participate together with one or more Affiliated Funds, one or more Capital Markets Affiliates, and/or one or more other Regulated Funds (or its Wholly-Owned Investment Sub) without obtaining and relying on the Order.</w:t>
      </w:r>
    </w:p>
    <w:p>
      <w:pPr>
        <w:spacing w:after="0" w:line="17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Pre-Boarding Investments</w:t>
      </w:r>
      <w:r>
        <w:rPr>
          <w:rFonts w:ascii="Times New Roman" w:cs="Times New Roman" w:eastAsia="Times New Roman" w:hAnsi="Times New Roman"/>
          <w:sz w:val="17"/>
          <w:szCs w:val="17"/>
          <w:color w:val="auto"/>
        </w:rPr>
        <w:t>” are investments in an issuer held by a Regulated Fund as well as one or more Affiliated Funds, one or more Capital Markets Affiliates and/or one or more other Regulated Funds that: (i) were acquired prior to participating in any Co-Investment Transaction; and (ii) were acquired</w:t>
      </w:r>
    </w:p>
    <w:p>
      <w:pPr>
        <w:spacing w:after="0" w:line="1" w:lineRule="exact"/>
        <w:rPr>
          <w:sz w:val="20"/>
          <w:szCs w:val="20"/>
          <w:color w:val="auto"/>
        </w:rPr>
      </w:pPr>
    </w:p>
    <w:p>
      <w:pPr>
        <w:ind w:right="400" w:firstLine="8"/>
        <w:spacing w:after="0" w:line="290" w:lineRule="auto"/>
        <w:tabs>
          <w:tab w:leader="none" w:pos="2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in which the only term negotiated by or on behalf of such funds was price in reliance on one of the JT No-Action Letters; or (B) in transactions occurring at least 90 days apart and without coordination between the Regulated Fund and any Affiliated Fund or other Regulated Fund.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Regulated Funds</w:t>
      </w:r>
      <w:r>
        <w:rPr>
          <w:rFonts w:ascii="Times New Roman" w:cs="Times New Roman" w:eastAsia="Times New Roman" w:hAnsi="Times New Roman"/>
          <w:sz w:val="18"/>
          <w:szCs w:val="18"/>
          <w:color w:val="auto"/>
        </w:rPr>
        <w:t>” means (a) the Existing Regulated Funds, (b) the Future Regulated Funds and (c) the BDC Downstream Funds.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Party</w:t>
      </w:r>
      <w:r>
        <w:rPr>
          <w:rFonts w:ascii="Times New Roman" w:cs="Times New Roman" w:eastAsia="Times New Roman" w:hAnsi="Times New Roman"/>
          <w:sz w:val="18"/>
          <w:szCs w:val="18"/>
          <w:color w:val="auto"/>
        </w:rPr>
        <w:t>” means (i) any Close Affiliate and (ii) in respect of matters as to which any Adviser has knowledge, any Remote Affiliate.</w:t>
      </w:r>
    </w:p>
    <w:p>
      <w:pPr>
        <w:spacing w:after="0" w:line="22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Remote Affiliate</w:t>
      </w:r>
      <w:r>
        <w:rPr>
          <w:rFonts w:ascii="Times New Roman" w:cs="Times New Roman" w:eastAsia="Times New Roman" w:hAnsi="Times New Roman"/>
          <w:sz w:val="18"/>
          <w:szCs w:val="18"/>
          <w:color w:val="auto"/>
        </w:rPr>
        <w:t>” means any person described in Section 57(e) in respect of any Regulated Fund (treating any registered investment company or series thereof as a BDC for this purpose) and any limited partner holding 5% or more of the relevant limited partner interests that would be a Close Affiliate but for the exclusion in that definition.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Majority</w:t>
      </w:r>
      <w:r>
        <w:rPr>
          <w:rFonts w:ascii="Times New Roman" w:cs="Times New Roman" w:eastAsia="Times New Roman" w:hAnsi="Times New Roman"/>
          <w:sz w:val="18"/>
          <w:szCs w:val="18"/>
          <w:color w:val="auto"/>
        </w:rPr>
        <w:t>” means a required majority, as defined in Section 57(o) of the Act.</w:t>
      </w:r>
      <w:r>
        <w:rPr>
          <w:rFonts w:ascii="Times New Roman" w:cs="Times New Roman" w:eastAsia="Times New Roman" w:hAnsi="Times New Roman"/>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886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90" w:lineRule="exact"/>
        <w:rPr>
          <w:sz w:val="20"/>
          <w:szCs w:val="20"/>
          <w:color w:val="auto"/>
        </w:rPr>
      </w:pPr>
    </w:p>
    <w:p>
      <w:pPr>
        <w:ind w:left="460" w:right="20" w:hanging="452"/>
        <w:spacing w:after="0" w:line="244" w:lineRule="auto"/>
        <w:tabs>
          <w:tab w:leader="none" w:pos="460" w:val="left"/>
        </w:tabs>
        <w:numPr>
          <w:ilvl w:val="0"/>
          <w:numId w:val="1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 the case of a Regulated Fund that is a registered closed-end fund, the Board members that make up the Required Majority will be determined as if the Regulated Fund were a BDC subject to Section 57(o). In the case of a BDC Downstream Fund with a board of directors (or the equivalent), the members that make up the Required Majority will be determined as if the BDC Downstream Fund were a BDC subject to Section 57(o). In the case of a BDC Downstream Fund with a transaction committee or advisory committee, the committee members that make up the Required Majority will be determined as if the BDC Downstream Fund were a BDC subject to Section 57(o) and as if the committee members were directors of the fund.</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80"/>
          </w:cols>
          <w:pgMar w:left="320" w:top="266" w:right="399" w:bottom="1440" w:gutter="0" w:footer="0" w:header="0"/>
        </w:sectPr>
      </w:pPr>
    </w:p>
    <w:bookmarkStart w:id="12" w:name="page13"/>
    <w:bookmarkEnd w:id="12"/>
    <w:p>
      <w:pPr>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SBIC Subsidiary</w:t>
      </w:r>
      <w:r>
        <w:rPr>
          <w:rFonts w:ascii="Times New Roman" w:cs="Times New Roman" w:eastAsia="Times New Roman" w:hAnsi="Times New Roman"/>
          <w:sz w:val="18"/>
          <w:szCs w:val="18"/>
          <w:color w:val="auto"/>
        </w:rPr>
        <w:t>” means a Wholly-Owned Investment Sub that is licensed by the Small Business Administration (the “SBA”) to operate under the Small Business Investment Act of 1958, as amended (the “SBA Act”), as a small business investment company (an “SBIC”).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Tradable Security</w:t>
      </w:r>
      <w:r>
        <w:rPr>
          <w:rFonts w:ascii="Times New Roman" w:cs="Times New Roman" w:eastAsia="Times New Roman" w:hAnsi="Times New Roman"/>
          <w:sz w:val="18"/>
          <w:szCs w:val="18"/>
          <w:color w:val="auto"/>
        </w:rPr>
        <w:t>” means a security that meets the following criteria at the time of Disposition:</w:t>
      </w:r>
    </w:p>
    <w:p>
      <w:pPr>
        <w:spacing w:after="0" w:line="135" w:lineRule="exact"/>
        <w:rPr>
          <w:sz w:val="20"/>
          <w:szCs w:val="20"/>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on a national securities exchange or designated offshore securities market as defined in rule 902(b) under the Securities Act;</w:t>
      </w:r>
    </w:p>
    <w:p>
      <w:pPr>
        <w:spacing w:after="0" w:line="130"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restrictive agreements with the issuer or other security holders; and</w:t>
      </w:r>
    </w:p>
    <w:p>
      <w:pPr>
        <w:spacing w:after="0" w:line="130" w:lineRule="exact"/>
        <w:rPr>
          <w:rFonts w:ascii="Times New Roman" w:cs="Times New Roman" w:eastAsia="Times New Roman" w:hAnsi="Times New Roman"/>
          <w:sz w:val="18"/>
          <w:szCs w:val="18"/>
          <w:color w:val="auto"/>
        </w:rPr>
      </w:pPr>
    </w:p>
    <w:p>
      <w:pPr>
        <w:ind w:left="1000" w:right="420" w:hanging="547"/>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trades with sufficient volume and liquidity (findings as to which are documented by the Advisers to any Regulated Funds holding investments in the issuer and retained for the life of the Regulated Fund) to allow each Regulated Fund to dispose of its entire position remaining after the proposed Disposition within a short period of time not exceeding 30 days at approximately the value (as defined by Section 2(a)(41) of the Act) at which the Regulated Fund has valued the investment.</w:t>
      </w:r>
    </w:p>
    <w:p>
      <w:pPr>
        <w:spacing w:after="0" w:line="17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Wholly-Owned Investment Sub</w:t>
      </w:r>
      <w:r>
        <w:rPr>
          <w:rFonts w:ascii="Times New Roman" w:cs="Times New Roman" w:eastAsia="Times New Roman" w:hAnsi="Times New Roman"/>
          <w:sz w:val="18"/>
          <w:szCs w:val="18"/>
          <w:color w:val="auto"/>
        </w:rPr>
        <w:t>” means any Existing Wholly-Owned Investment Subs or an entity (i) that is wholly-owned</w:t>
      </w:r>
      <w:r>
        <w:rPr>
          <w:rFonts w:ascii="Times New Roman" w:cs="Times New Roman" w:eastAsia="Times New Roman" w:hAnsi="Times New Roman"/>
          <w:sz w:val="26"/>
          <w:szCs w:val="26"/>
          <w:color w:val="auto"/>
          <w:vertAlign w:val="superscript"/>
        </w:rPr>
        <w:t>9</w:t>
      </w:r>
      <w:r>
        <w:rPr>
          <w:rFonts w:ascii="Times New Roman" w:cs="Times New Roman" w:eastAsia="Times New Roman" w:hAnsi="Times New Roman"/>
          <w:sz w:val="18"/>
          <w:szCs w:val="18"/>
          <w:color w:val="auto"/>
        </w:rPr>
        <w:t xml:space="preserve"> by an Existing Regulated Fund or a Future Regulated Fund (with such Regulated Fund at all times holding, beneficially and of record, 95% or more of the voting and economic interests); (ii) whose sole business purpose is to hold one or more investments and issue debt on behalf or in lieu of such Regulated Fund (and, in the case of an SBIC Subsidiary, maintain a license under the SBA Act and issue debentures guaranteed by the SBA); (iii) with respect to which such Regulated Fund’s Board has the sole authority to make all determinations with respect to the entity’s participation under the Conditions to this Application; and (iv) that either (a) would be an investment company but for Section 3(c)(1) or 3(c)(7) of the Act or (b) relies on Rule 3a-7 under the Act.</w:t>
      </w:r>
    </w:p>
    <w:p>
      <w:pPr>
        <w:spacing w:after="0" w:line="343"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Each Applicant is directly or indirectly controlled by Carlyle. Carlyle, however, is a holding company and does not currently offer investment advisory services to any person and is not expected to do so in the future. Accordingly, Carlyle has not been included as an Applicant.</w:t>
      </w:r>
    </w:p>
    <w:p>
      <w:pPr>
        <w:spacing w:after="0" w:line="310" w:lineRule="exact"/>
        <w:rPr>
          <w:sz w:val="20"/>
          <w:szCs w:val="20"/>
          <w:color w:val="auto"/>
        </w:rPr>
      </w:pP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Carlyle Secured Lending, Inc.</w:t>
      </w:r>
    </w:p>
    <w:p>
      <w:pPr>
        <w:spacing w:after="0" w:line="11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BDC I is a Maryland corporation incorporated on February 8, 2012, and structured as an externally managed, non-diversified closed-end investment company. On May 2, 2013, BDC I filed its election to be regulated as a BDC under the Act. As of December 31, 2021 BDC I had net assets of $948,804,000.</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June 9, 2017, BDC I completed its previously announced acquisition of NF Investment Corp., a Maryland corporation that had elected to be regulated as a BDC under the Act and to which CGCIM served as the investment adviser, with BDC I as the surviving entity in the acquisition.</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June 19, 2017, BDC I closed its initial public offering, issuing 9,454,200 shares of common stock (including shares issued pursuant to the exercise of the underwriters’ over-allotment option on July 5, 2017).</w:t>
      </w:r>
    </w:p>
    <w:p>
      <w:pPr>
        <w:spacing w:after="0" w:line="1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BDC I’s Objectives and Strategies are to generate current income and capital appreciation primarily through debt investments. BDC I’s core investment strategy focuses on lending to U.S. middle market companies, which BDC I defines as companies with approximately $25 million to $100 million of EBITDA, which BDC I believes is a useful proxy for cash flow. BDC I seeks to achieve its investment objective primarily through direct originations of secured debt (which we refer to as “</w:t>
      </w:r>
      <w:r>
        <w:rPr>
          <w:rFonts w:ascii="Times New Roman" w:cs="Times New Roman" w:eastAsia="Times New Roman" w:hAnsi="Times New Roman"/>
          <w:sz w:val="18"/>
          <w:szCs w:val="18"/>
          <w:b w:val="1"/>
          <w:bCs w:val="1"/>
          <w:i w:val="1"/>
          <w:iCs w:val="1"/>
          <w:color w:val="auto"/>
        </w:rPr>
        <w:t>Middle Market Senior Loans</w:t>
      </w:r>
      <w:r>
        <w:rPr>
          <w:rFonts w:ascii="Times New Roman" w:cs="Times New Roman" w:eastAsia="Times New Roman" w:hAnsi="Times New Roman"/>
          <w:sz w:val="18"/>
          <w:szCs w:val="18"/>
          <w:color w:val="auto"/>
        </w:rPr>
        <w:t>”), including first lien senior secured loans (which may include stand-alone first lien loans, first lien/last out loans and “unitranche” loans) and second lien senior secured loans, with the balance of its assets invested in higher yielding investments (which may include unsecured debt, mezzanine debt and investments in equities). The Middle Market Senior Loans are generally made to private U.S. middle market companies that are, in many cases, controlled by private equity firms. Depending on market conditions, BDC I expects that between 70% and 80% of the value of its assets will be invested in Middle Market Senior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886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45" w:lineRule="exact"/>
        <w:rPr>
          <w:sz w:val="20"/>
          <w:szCs w:val="20"/>
          <w:color w:val="auto"/>
        </w:rPr>
      </w:pPr>
    </w:p>
    <w:p>
      <w:pPr>
        <w:ind w:left="220" w:right="320" w:hanging="212"/>
        <w:spacing w:after="0" w:line="208" w:lineRule="auto"/>
        <w:tabs>
          <w:tab w:leader="none" w:pos="220"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“wholly-owned subsidiary” of a person is as defined in Section 2(a)(43) of the Act and means a company 95% or more of the outstanding voting securities of which are owned by such person.</w:t>
      </w:r>
    </w:p>
    <w:p>
      <w:pPr>
        <w:spacing w:after="0" w:line="1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266" w:right="439" w:bottom="1440" w:gutter="0" w:footer="0" w:header="0"/>
        </w:sectPr>
      </w:pPr>
    </w:p>
    <w:bookmarkStart w:id="13" w:name="page14"/>
    <w:bookmarkEnd w:id="13"/>
    <w:p>
      <w:pPr>
        <w:ind w:left="20" w:right="59"/>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 I expects that the composition of its portfolio will change over time given CGCIM’s view on, among other things, the economic and credit environment (including with respect to interest rates) in which BDC I is operating.BDC I has elected to be treated as a regulated investment company (“</w:t>
      </w:r>
      <w:r>
        <w:rPr>
          <w:rFonts w:ascii="Times New Roman" w:cs="Times New Roman" w:eastAsia="Times New Roman" w:hAnsi="Times New Roman"/>
          <w:sz w:val="18"/>
          <w:szCs w:val="18"/>
          <w:b w:val="1"/>
          <w:bCs w:val="1"/>
          <w:i w:val="1"/>
          <w:iCs w:val="1"/>
          <w:color w:val="auto"/>
        </w:rPr>
        <w:t>RIC</w:t>
      </w:r>
      <w:r>
        <w:rPr>
          <w:rFonts w:ascii="Times New Roman" w:cs="Times New Roman" w:eastAsia="Times New Roman" w:hAnsi="Times New Roman"/>
          <w:sz w:val="18"/>
          <w:szCs w:val="18"/>
          <w:color w:val="auto"/>
        </w:rPr>
        <w:t>”) under Subchapter M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and operates in a manner so as to qualify for the tax treatment applicable to RICs.</w:t>
      </w:r>
    </w:p>
    <w:p>
      <w:pPr>
        <w:spacing w:after="0" w:line="176" w:lineRule="exact"/>
        <w:rPr>
          <w:sz w:val="20"/>
          <w:szCs w:val="20"/>
          <w:color w:val="auto"/>
        </w:rPr>
      </w:pPr>
    </w:p>
    <w:p>
      <w:pPr>
        <w:ind w:left="20" w:right="499"/>
        <w:spacing w:after="0" w:line="286" w:lineRule="auto"/>
        <w:rPr>
          <w:sz w:val="20"/>
          <w:szCs w:val="20"/>
          <w:color w:val="auto"/>
        </w:rPr>
      </w:pPr>
      <w:r>
        <w:rPr>
          <w:rFonts w:ascii="Times New Roman" w:cs="Times New Roman" w:eastAsia="Times New Roman" w:hAnsi="Times New Roman"/>
          <w:sz w:val="18"/>
          <w:szCs w:val="18"/>
          <w:color w:val="auto"/>
        </w:rPr>
        <w:t>The Board of BDC I (the “</w:t>
      </w:r>
      <w:r>
        <w:rPr>
          <w:rFonts w:ascii="Times New Roman" w:cs="Times New Roman" w:eastAsia="Times New Roman" w:hAnsi="Times New Roman"/>
          <w:sz w:val="18"/>
          <w:szCs w:val="18"/>
          <w:b w:val="1"/>
          <w:bCs w:val="1"/>
          <w:i w:val="1"/>
          <w:iCs w:val="1"/>
          <w:color w:val="auto"/>
        </w:rPr>
        <w:t>BDC I Board</w:t>
      </w:r>
      <w:r>
        <w:rPr>
          <w:rFonts w:ascii="Times New Roman" w:cs="Times New Roman" w:eastAsia="Times New Roman" w:hAnsi="Times New Roman"/>
          <w:sz w:val="18"/>
          <w:szCs w:val="18"/>
          <w:color w:val="auto"/>
        </w:rPr>
        <w:t>”) is comprised of seven directors, five of whom are Independent Directors of BDC I.</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Members of the BDC I Board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Linda Pace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Jenkins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Aren LeeKong</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Nigel D.T. Andrews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Leslie E. Bradford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G. Nestor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H. Wright II (Independent Director)</w:t>
      </w:r>
    </w:p>
    <w:p>
      <w:pPr>
        <w:spacing w:after="0" w:line="355" w:lineRule="exact"/>
        <w:rPr>
          <w:sz w:val="20"/>
          <w:szCs w:val="20"/>
          <w:color w:val="auto"/>
        </w:rPr>
      </w:pPr>
    </w:p>
    <w:p>
      <w:pPr>
        <w:ind w:left="360" w:hanging="349"/>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Carlyle Credit Solutions, Inc.</w:t>
      </w:r>
    </w:p>
    <w:p>
      <w:pPr>
        <w:spacing w:after="0" w:line="117" w:lineRule="exact"/>
        <w:rPr>
          <w:sz w:val="20"/>
          <w:szCs w:val="20"/>
          <w:color w:val="auto"/>
        </w:rPr>
      </w:pPr>
    </w:p>
    <w:p>
      <w:pPr>
        <w:ind w:left="20" w:right="199"/>
        <w:spacing w:after="0" w:line="256" w:lineRule="auto"/>
        <w:rPr>
          <w:sz w:val="20"/>
          <w:szCs w:val="20"/>
          <w:color w:val="auto"/>
        </w:rPr>
      </w:pPr>
      <w:r>
        <w:rPr>
          <w:rFonts w:ascii="Times New Roman" w:cs="Times New Roman" w:eastAsia="Times New Roman" w:hAnsi="Times New Roman"/>
          <w:sz w:val="18"/>
          <w:szCs w:val="18"/>
          <w:color w:val="auto"/>
        </w:rPr>
        <w:t>BDC II is a Maryland corporation incorporated on February 10, 2017. BDC II is structured as an externally managed, non-diversified closed-end investment company. On October 2, 2017, BDC II filed its election to be regulated as a BDC under the Act. BDC II conducted a private offering of its shares of common stock to investors in reliance on exemptions from the registration requirements of the Securities Act (a “</w:t>
      </w:r>
      <w:r>
        <w:rPr>
          <w:rFonts w:ascii="Times New Roman" w:cs="Times New Roman" w:eastAsia="Times New Roman" w:hAnsi="Times New Roman"/>
          <w:sz w:val="18"/>
          <w:szCs w:val="18"/>
          <w:b w:val="1"/>
          <w:bCs w:val="1"/>
          <w:i w:val="1"/>
          <w:iCs w:val="1"/>
          <w:color w:val="auto"/>
        </w:rPr>
        <w:t>BDC II Private Offering</w:t>
      </w:r>
      <w:r>
        <w:rPr>
          <w:rFonts w:ascii="Times New Roman" w:cs="Times New Roman" w:eastAsia="Times New Roman" w:hAnsi="Times New Roman"/>
          <w:sz w:val="18"/>
          <w:szCs w:val="18"/>
          <w:color w:val="auto"/>
        </w:rPr>
        <w:t>”). The initial capital drawdown from its investors in the BDC II Private Offering was settled on October 4, 2017. Shortly thereafter, BDC II commenced its operations. As of December 31, 2021, BDC II had net assets of approximately $1,166,241,000.</w:t>
      </w:r>
    </w:p>
    <w:p>
      <w:pPr>
        <w:spacing w:after="0" w:line="187" w:lineRule="exact"/>
        <w:rPr>
          <w:sz w:val="20"/>
          <w:szCs w:val="20"/>
          <w:color w:val="auto"/>
        </w:rPr>
      </w:pPr>
    </w:p>
    <w:p>
      <w:pPr>
        <w:ind w:left="20" w:right="59"/>
        <w:spacing w:after="0" w:line="254" w:lineRule="auto"/>
        <w:rPr>
          <w:sz w:val="20"/>
          <w:szCs w:val="20"/>
          <w:color w:val="auto"/>
        </w:rPr>
      </w:pPr>
      <w:r>
        <w:rPr>
          <w:rFonts w:ascii="Times New Roman" w:cs="Times New Roman" w:eastAsia="Times New Roman" w:hAnsi="Times New Roman"/>
          <w:sz w:val="18"/>
          <w:szCs w:val="18"/>
          <w:color w:val="auto"/>
        </w:rPr>
        <w:t>BDC II’s Objectives and Strategies are to generate attractive risk adjusted returns and current income primarily by investing in senior secured term loans to U.S. middle market companies in which private equity sponsors hold, directly or indirectly, a financial interest in the form of debt and/or equity. BDC II’s core investment strategy focuses on lending to U.S. middle market companies, which BDC II defines as companies with approximately $25 million to $100 million of EBITDA, , which BDC II believes is a useful proxy for cash flow. BDC II seeks to achieve its investment objective through direct originations of Middle Market Senior Loans, including first lien senior secured loans, “unitranche” loans and second lien senior secured loans, with the balance of its assets invested in investments that are typically higher yielding than Middle Market Senior Loans (which may include unsecured debt, mezzanine debt and investments in equities), although it may make investments in issuers with EBITDA outside of such range.</w:t>
      </w:r>
    </w:p>
    <w:p>
      <w:pPr>
        <w:spacing w:after="0" w:line="188" w:lineRule="exact"/>
        <w:rPr>
          <w:sz w:val="20"/>
          <w:szCs w:val="20"/>
          <w:color w:val="auto"/>
        </w:rPr>
      </w:pPr>
    </w:p>
    <w:p>
      <w:pPr>
        <w:ind w:left="20" w:right="79"/>
        <w:spacing w:after="0" w:line="282" w:lineRule="auto"/>
        <w:rPr>
          <w:sz w:val="20"/>
          <w:szCs w:val="20"/>
          <w:color w:val="auto"/>
        </w:rPr>
      </w:pPr>
      <w:r>
        <w:rPr>
          <w:rFonts w:ascii="Times New Roman" w:cs="Times New Roman" w:eastAsia="Times New Roman" w:hAnsi="Times New Roman"/>
          <w:sz w:val="18"/>
          <w:szCs w:val="18"/>
          <w:color w:val="auto"/>
        </w:rPr>
        <w:t>BDC II has elected to be treated as a RIC under Subchapter M of the Code, and operates in a manner so as to qualify for the tax treatment applicable to RICs.</w:t>
      </w:r>
    </w:p>
    <w:p>
      <w:pPr>
        <w:spacing w:after="0" w:line="158" w:lineRule="exact"/>
        <w:rPr>
          <w:sz w:val="20"/>
          <w:szCs w:val="20"/>
          <w:color w:val="auto"/>
        </w:rPr>
      </w:pPr>
    </w:p>
    <w:p>
      <w:pPr>
        <w:ind w:left="20" w:right="359"/>
        <w:spacing w:after="0" w:line="286" w:lineRule="auto"/>
        <w:rPr>
          <w:sz w:val="20"/>
          <w:szCs w:val="20"/>
          <w:color w:val="auto"/>
        </w:rPr>
      </w:pPr>
      <w:r>
        <w:rPr>
          <w:rFonts w:ascii="Times New Roman" w:cs="Times New Roman" w:eastAsia="Times New Roman" w:hAnsi="Times New Roman"/>
          <w:sz w:val="18"/>
          <w:szCs w:val="18"/>
          <w:color w:val="auto"/>
        </w:rPr>
        <w:t>The Board of BDC II (the “</w:t>
      </w:r>
      <w:r>
        <w:rPr>
          <w:rFonts w:ascii="Times New Roman" w:cs="Times New Roman" w:eastAsia="Times New Roman" w:hAnsi="Times New Roman"/>
          <w:sz w:val="18"/>
          <w:szCs w:val="18"/>
          <w:b w:val="1"/>
          <w:bCs w:val="1"/>
          <w:i w:val="1"/>
          <w:iCs w:val="1"/>
          <w:color w:val="auto"/>
        </w:rPr>
        <w:t>BDC II Board</w:t>
      </w:r>
      <w:r>
        <w:rPr>
          <w:rFonts w:ascii="Times New Roman" w:cs="Times New Roman" w:eastAsia="Times New Roman" w:hAnsi="Times New Roman"/>
          <w:sz w:val="18"/>
          <w:szCs w:val="18"/>
          <w:color w:val="auto"/>
        </w:rPr>
        <w:t>”) is comprised of seven directors, five of whom are Independent Directors of BDC II.</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Members of the BDC II Board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Linda Pace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Jenkins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Aren LeeKong</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Nigel D.T. Andrews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Leslie E. Bradford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G. Nestor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H. Wright II (Independent Director)</w:t>
      </w:r>
    </w:p>
    <w:p>
      <w:pPr>
        <w:spacing w:after="0" w:line="355" w:lineRule="exact"/>
        <w:rPr>
          <w:sz w:val="20"/>
          <w:szCs w:val="20"/>
          <w:color w:val="auto"/>
        </w:rPr>
      </w:pPr>
    </w:p>
    <w:p>
      <w:pPr>
        <w:ind w:left="360" w:hanging="349"/>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Carlyle Secured Lending III</w:t>
      </w:r>
    </w:p>
    <w:p>
      <w:pPr>
        <w:spacing w:after="0" w:line="117" w:lineRule="exact"/>
        <w:rPr>
          <w:sz w:val="20"/>
          <w:szCs w:val="20"/>
          <w:color w:val="auto"/>
        </w:rPr>
      </w:pPr>
    </w:p>
    <w:p>
      <w:pPr>
        <w:ind w:left="20" w:right="379"/>
        <w:spacing w:after="0" w:line="266" w:lineRule="auto"/>
        <w:rPr>
          <w:sz w:val="20"/>
          <w:szCs w:val="20"/>
          <w:color w:val="auto"/>
        </w:rPr>
      </w:pPr>
      <w:r>
        <w:rPr>
          <w:rFonts w:ascii="Times New Roman" w:cs="Times New Roman" w:eastAsia="Times New Roman" w:hAnsi="Times New Roman"/>
          <w:sz w:val="18"/>
          <w:szCs w:val="18"/>
          <w:color w:val="auto"/>
        </w:rPr>
        <w:t>BDC III is a newly-formed Delaware statutory trust that was formed on February 8, 2021 and is an externally managed, non-diversified closed-end investment company. BDC III has elected to be regulated as a BDC under the Act. CSL III serves as investment adviser to BDC III.</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019"/>
          </w:cols>
          <w:pgMar w:left="1440" w:top="270" w:right="1440" w:bottom="1440" w:gutter="0" w:footer="0" w:header="0"/>
        </w:sectPr>
      </w:pPr>
    </w:p>
    <w:bookmarkStart w:id="14" w:name="page15"/>
    <w:bookmarkEnd w:id="14"/>
    <w:p>
      <w:pPr>
        <w:ind w:left="20" w:right="41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BDC III has elected to be treated as a RIC under Subchapter M of the Code, and intends to operate in a manner so as to qualify for the tax treatment applicable to RICs.</w:t>
      </w:r>
    </w:p>
    <w:p>
      <w:pPr>
        <w:spacing w:after="0" w:line="158" w:lineRule="exact"/>
        <w:rPr>
          <w:sz w:val="20"/>
          <w:szCs w:val="20"/>
          <w:color w:val="auto"/>
        </w:rPr>
      </w:pPr>
    </w:p>
    <w:p>
      <w:pPr>
        <w:ind w:left="20" w:right="219"/>
        <w:spacing w:after="0" w:line="286" w:lineRule="auto"/>
        <w:rPr>
          <w:sz w:val="20"/>
          <w:szCs w:val="20"/>
          <w:color w:val="auto"/>
        </w:rPr>
      </w:pPr>
      <w:r>
        <w:rPr>
          <w:rFonts w:ascii="Times New Roman" w:cs="Times New Roman" w:eastAsia="Times New Roman" w:hAnsi="Times New Roman"/>
          <w:sz w:val="18"/>
          <w:szCs w:val="18"/>
          <w:color w:val="auto"/>
        </w:rPr>
        <w:t xml:space="preserve">The Board of BDC III (the </w:t>
      </w:r>
      <w:r>
        <w:rPr>
          <w:rFonts w:ascii="Times New Roman" w:cs="Times New Roman" w:eastAsia="Times New Roman" w:hAnsi="Times New Roman"/>
          <w:sz w:val="18"/>
          <w:szCs w:val="18"/>
          <w:b w:val="1"/>
          <w:bCs w:val="1"/>
          <w:i w:val="1"/>
          <w:iCs w:val="1"/>
          <w:color w:val="auto"/>
        </w:rPr>
        <w:t>“BDC III Board”</w:t>
      </w:r>
      <w:r>
        <w:rPr>
          <w:rFonts w:ascii="Times New Roman" w:cs="Times New Roman" w:eastAsia="Times New Roman" w:hAnsi="Times New Roman"/>
          <w:sz w:val="18"/>
          <w:szCs w:val="18"/>
          <w:color w:val="auto"/>
        </w:rPr>
        <w:t>) is comprised of seven directors, five of whom are Independent Directors of BDC III.</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Members of the BDC III Board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Linda Pace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Jenkins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Aren LeeKong</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Nigel D.T. Andrews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Leslie E. Bradford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G. Nestor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H. Wright II (Independent Director)</w:t>
      </w:r>
    </w:p>
    <w:p>
      <w:pPr>
        <w:spacing w:after="0" w:line="355" w:lineRule="exact"/>
        <w:rPr>
          <w:sz w:val="20"/>
          <w:szCs w:val="20"/>
          <w:color w:val="auto"/>
        </w:rPr>
      </w:pPr>
    </w:p>
    <w:p>
      <w:pPr>
        <w:ind w:left="360" w:hanging="349"/>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Carlyle Tactical Private Credit Fund</w:t>
      </w:r>
    </w:p>
    <w:p>
      <w:pPr>
        <w:spacing w:after="0" w:line="117" w:lineRule="exact"/>
        <w:rPr>
          <w:sz w:val="20"/>
          <w:szCs w:val="20"/>
          <w:color w:val="auto"/>
        </w:rPr>
      </w:pPr>
    </w:p>
    <w:p>
      <w:pPr>
        <w:ind w:left="20" w:right="279"/>
        <w:spacing w:after="0" w:line="282" w:lineRule="auto"/>
        <w:rPr>
          <w:sz w:val="20"/>
          <w:szCs w:val="20"/>
          <w:color w:val="auto"/>
        </w:rPr>
      </w:pPr>
      <w:r>
        <w:rPr>
          <w:rFonts w:ascii="Times New Roman" w:cs="Times New Roman" w:eastAsia="Times New Roman" w:hAnsi="Times New Roman"/>
          <w:sz w:val="18"/>
          <w:szCs w:val="18"/>
          <w:color w:val="auto"/>
        </w:rPr>
        <w:t>CTAC is Delaware statutory trust. CTAC is structured as a non-diversified, closed-end management investment company that is operated as an interval fund. As of December 31, 2021, CTAC had net assets of $881,000,000.</w:t>
      </w:r>
    </w:p>
    <w:p>
      <w:pPr>
        <w:spacing w:after="0" w:line="162" w:lineRule="exact"/>
        <w:rPr>
          <w:sz w:val="20"/>
          <w:szCs w:val="20"/>
          <w:color w:val="auto"/>
        </w:rPr>
      </w:pPr>
    </w:p>
    <w:p>
      <w:pPr>
        <w:ind w:left="20" w:right="39"/>
        <w:spacing w:after="0" w:line="255" w:lineRule="auto"/>
        <w:rPr>
          <w:sz w:val="20"/>
          <w:szCs w:val="20"/>
          <w:color w:val="auto"/>
        </w:rPr>
      </w:pPr>
      <w:r>
        <w:rPr>
          <w:rFonts w:ascii="Times New Roman" w:cs="Times New Roman" w:eastAsia="Times New Roman" w:hAnsi="Times New Roman"/>
          <w:sz w:val="18"/>
          <w:szCs w:val="18"/>
          <w:color w:val="auto"/>
        </w:rPr>
        <w:t>CTAC’s investment objective is to generate current income by opportunistically allocating its assets across a wide range of credit strategies. Under normal circumstances, CTAC will seek to invest at least 80% of its assets in private fixed-income securities and credit instruments. CTAC will opportunistically allocate its investments in private credit instruments across any number of the following credit strategies: (a) liquid credit (including broadly syndicated loans); (b) direct lending (including first lien loans, second lien loans, unitranche loans and mezzanine debt); (c) opportunistic credit (including private credit solutions, special situations and market dislocations); (d) structured credit (including CLOs) and (e) real assets (including infrastructure and aviation assets). To a lesser extent, CTAC also may invest in distressed credit.</w:t>
      </w:r>
    </w:p>
    <w:p>
      <w:pPr>
        <w:spacing w:after="0" w:line="189" w:lineRule="exact"/>
        <w:rPr>
          <w:sz w:val="20"/>
          <w:szCs w:val="20"/>
          <w:color w:val="auto"/>
        </w:rPr>
      </w:pPr>
    </w:p>
    <w:p>
      <w:pPr>
        <w:ind w:left="20" w:right="159"/>
        <w:spacing w:after="0" w:line="282" w:lineRule="auto"/>
        <w:rPr>
          <w:sz w:val="20"/>
          <w:szCs w:val="20"/>
          <w:color w:val="auto"/>
        </w:rPr>
      </w:pPr>
      <w:r>
        <w:rPr>
          <w:rFonts w:ascii="Times New Roman" w:cs="Times New Roman" w:eastAsia="Times New Roman" w:hAnsi="Times New Roman"/>
          <w:sz w:val="18"/>
          <w:szCs w:val="18"/>
          <w:color w:val="auto"/>
        </w:rPr>
        <w:t>CTAC has elected to be treated as a RIC under Subchapter M of the Code, and operates in a manner so as to qualify for the tax treatment applicable to RICs.</w:t>
      </w:r>
    </w:p>
    <w:p>
      <w:pPr>
        <w:spacing w:after="0" w:line="158" w:lineRule="exact"/>
        <w:rPr>
          <w:sz w:val="20"/>
          <w:szCs w:val="20"/>
          <w:color w:val="auto"/>
        </w:rPr>
      </w:pPr>
    </w:p>
    <w:p>
      <w:pPr>
        <w:ind w:left="20" w:right="559"/>
        <w:spacing w:after="0" w:line="286" w:lineRule="auto"/>
        <w:rPr>
          <w:sz w:val="20"/>
          <w:szCs w:val="20"/>
          <w:color w:val="auto"/>
        </w:rPr>
      </w:pPr>
      <w:r>
        <w:rPr>
          <w:rFonts w:ascii="Times New Roman" w:cs="Times New Roman" w:eastAsia="Times New Roman" w:hAnsi="Times New Roman"/>
          <w:sz w:val="18"/>
          <w:szCs w:val="18"/>
          <w:color w:val="auto"/>
        </w:rPr>
        <w:t>The Board of CTAC (the “</w:t>
      </w:r>
      <w:r>
        <w:rPr>
          <w:rFonts w:ascii="Times New Roman" w:cs="Times New Roman" w:eastAsia="Times New Roman" w:hAnsi="Times New Roman"/>
          <w:sz w:val="18"/>
          <w:szCs w:val="18"/>
          <w:b w:val="1"/>
          <w:bCs w:val="1"/>
          <w:i w:val="1"/>
          <w:iCs w:val="1"/>
          <w:color w:val="auto"/>
        </w:rPr>
        <w:t>CTAC Board</w:t>
      </w:r>
      <w:r>
        <w:rPr>
          <w:rFonts w:ascii="Times New Roman" w:cs="Times New Roman" w:eastAsia="Times New Roman" w:hAnsi="Times New Roman"/>
          <w:sz w:val="18"/>
          <w:szCs w:val="18"/>
          <w:color w:val="auto"/>
        </w:rPr>
        <w:t>”) is comprised of four directors, three of whom are Independent Directors of CTAC.</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Members of the CTAC Board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Justin Plouffe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Garbin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Sanjeev Handa (Independent Director)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Joan McCabe (Independent Director)</w:t>
      </w:r>
    </w:p>
    <w:p>
      <w:pPr>
        <w:spacing w:after="0" w:line="355" w:lineRule="exact"/>
        <w:rPr>
          <w:sz w:val="20"/>
          <w:szCs w:val="20"/>
          <w:color w:val="auto"/>
        </w:rPr>
      </w:pPr>
    </w:p>
    <w:p>
      <w:pPr>
        <w:ind w:left="360" w:hanging="349"/>
        <w:spacing w:after="0"/>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TCG BDC SPV LLC</w:t>
      </w:r>
    </w:p>
    <w:p>
      <w:pPr>
        <w:spacing w:after="0" w:line="117" w:lineRule="exact"/>
        <w:rPr>
          <w:sz w:val="20"/>
          <w:szCs w:val="20"/>
          <w:color w:val="auto"/>
        </w:rPr>
      </w:pPr>
    </w:p>
    <w:p>
      <w:pPr>
        <w:ind w:left="20" w:right="119"/>
        <w:spacing w:after="0" w:line="266" w:lineRule="auto"/>
        <w:rPr>
          <w:sz w:val="20"/>
          <w:szCs w:val="20"/>
          <w:color w:val="auto"/>
        </w:rPr>
      </w:pPr>
      <w:r>
        <w:rPr>
          <w:rFonts w:ascii="Times New Roman" w:cs="Times New Roman" w:eastAsia="Times New Roman" w:hAnsi="Times New Roman"/>
          <w:sz w:val="18"/>
          <w:szCs w:val="18"/>
          <w:color w:val="auto"/>
        </w:rPr>
        <w:t>BDC I Sub is a Wholly-Owned Investment Sub of BDC I formed specifically for the purpose of procuring financing or otherwise holding investments. Pursuant to the documents governing BDC I Sub, CGCIM, as investment adviser to BDC I, oversees the management of the assets of BDC I Sub.</w:t>
      </w:r>
    </w:p>
    <w:p>
      <w:pPr>
        <w:spacing w:after="0" w:line="324" w:lineRule="exact"/>
        <w:rPr>
          <w:sz w:val="20"/>
          <w:szCs w:val="20"/>
          <w:color w:val="auto"/>
        </w:rPr>
      </w:pPr>
    </w:p>
    <w:p>
      <w:pPr>
        <w:ind w:left="360" w:hanging="349"/>
        <w:spacing w:after="0"/>
        <w:tabs>
          <w:tab w:leader="none" w:pos="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CARLYLE CREDIT SOLUTIONS SPV LLC</w:t>
      </w:r>
    </w:p>
    <w:p>
      <w:pPr>
        <w:spacing w:after="0" w:line="117" w:lineRule="exact"/>
        <w:rPr>
          <w:sz w:val="20"/>
          <w:szCs w:val="20"/>
          <w:color w:val="auto"/>
        </w:rPr>
      </w:pPr>
    </w:p>
    <w:p>
      <w:pPr>
        <w:ind w:left="20" w:right="319"/>
        <w:spacing w:after="0" w:line="266" w:lineRule="auto"/>
        <w:rPr>
          <w:sz w:val="20"/>
          <w:szCs w:val="20"/>
          <w:color w:val="auto"/>
        </w:rPr>
      </w:pPr>
      <w:r>
        <w:rPr>
          <w:rFonts w:ascii="Times New Roman" w:cs="Times New Roman" w:eastAsia="Times New Roman" w:hAnsi="Times New Roman"/>
          <w:sz w:val="18"/>
          <w:szCs w:val="18"/>
          <w:color w:val="auto"/>
        </w:rPr>
        <w:t>BDC II Sub is a Wholly-Owned Investment Sub of BDC II formed specifically for the purpose of procuring financing or otherwise holding investments. Pursuant to the documents governing BDC II Sub, CGCIM, as investment adviser to BDC II, oversees the management of the assets of BDC II Sub.</w:t>
      </w:r>
    </w:p>
    <w:p>
      <w:pPr>
        <w:spacing w:after="0" w:line="324" w:lineRule="exact"/>
        <w:rPr>
          <w:sz w:val="20"/>
          <w:szCs w:val="20"/>
          <w:color w:val="auto"/>
        </w:rPr>
      </w:pPr>
    </w:p>
    <w:p>
      <w:pPr>
        <w:ind w:left="360" w:hanging="349"/>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CARLYLE CREDIT SOLUTIONS SPV 2 LLC</w:t>
      </w:r>
    </w:p>
    <w:p>
      <w:pPr>
        <w:spacing w:after="0" w:line="117" w:lineRule="exact"/>
        <w:rPr>
          <w:sz w:val="20"/>
          <w:szCs w:val="20"/>
          <w:color w:val="auto"/>
        </w:rPr>
      </w:pPr>
    </w:p>
    <w:p>
      <w:pPr>
        <w:ind w:left="20" w:right="219"/>
        <w:spacing w:after="0" w:line="266" w:lineRule="auto"/>
        <w:rPr>
          <w:sz w:val="20"/>
          <w:szCs w:val="20"/>
          <w:color w:val="auto"/>
        </w:rPr>
      </w:pPr>
      <w:r>
        <w:rPr>
          <w:rFonts w:ascii="Times New Roman" w:cs="Times New Roman" w:eastAsia="Times New Roman" w:hAnsi="Times New Roman"/>
          <w:sz w:val="18"/>
          <w:szCs w:val="18"/>
          <w:color w:val="auto"/>
        </w:rPr>
        <w:t>BDC II Sub2 is a Wholly-Owned Investment Sub of BDC II formed specifically for the purpose of procuring financing or otherwise holding investments. Pursuant to the documents governing BDC II Sub2, CGCIM, as investment adviser to BDC II, oversees the management of the assets of BDC II Sub2.</w:t>
      </w:r>
    </w:p>
    <w:p>
      <w:pPr>
        <w:sectPr>
          <w:pgSz w:w="11900" w:h="16838" w:orient="portrait"/>
          <w:cols w:equalWidth="0" w:num="1">
            <w:col w:w="9019"/>
          </w:cols>
          <w:pgMar w:left="1440" w:top="270"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019"/>
          </w:cols>
          <w:pgMar w:left="1440" w:top="270" w:right="1440" w:bottom="1440" w:gutter="0" w:footer="0" w:header="0"/>
          <w:type w:val="continuous"/>
        </w:sectPr>
      </w:pPr>
    </w:p>
    <w:bookmarkStart w:id="15" w:name="page16"/>
    <w:bookmarkEnd w:id="15"/>
    <w:p>
      <w:pPr>
        <w:ind w:left="360" w:hanging="349"/>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OCPC Credit Facility SPV LLC</w:t>
      </w:r>
    </w:p>
    <w:p>
      <w:pPr>
        <w:spacing w:after="0" w:line="117" w:lineRule="exact"/>
        <w:rPr>
          <w:sz w:val="20"/>
          <w:szCs w:val="20"/>
          <w:color w:val="auto"/>
        </w:rPr>
      </w:pPr>
    </w:p>
    <w:p>
      <w:pPr>
        <w:ind w:left="20" w:right="119"/>
        <w:spacing w:after="0" w:line="266" w:lineRule="auto"/>
        <w:rPr>
          <w:sz w:val="20"/>
          <w:szCs w:val="20"/>
          <w:color w:val="auto"/>
        </w:rPr>
      </w:pPr>
      <w:r>
        <w:rPr>
          <w:rFonts w:ascii="Times New Roman" w:cs="Times New Roman" w:eastAsia="Times New Roman" w:hAnsi="Times New Roman"/>
          <w:sz w:val="18"/>
          <w:szCs w:val="18"/>
          <w:color w:val="auto"/>
        </w:rPr>
        <w:t>CTAC SPV is a Wholly-Owned Investment Sub of CTAC formed specifically for the purpose of procuring financing or otherwise holding investments. Pursuant to the documents governing CTAC SPV, CGCIM, as investment adviser to CTAC, oversees the management of the assets of CTAC SPV.</w:t>
      </w:r>
    </w:p>
    <w:p>
      <w:pPr>
        <w:spacing w:after="0" w:line="324" w:lineRule="exact"/>
        <w:rPr>
          <w:sz w:val="20"/>
          <w:szCs w:val="20"/>
          <w:color w:val="auto"/>
        </w:rPr>
      </w:pPr>
    </w:p>
    <w:p>
      <w:pPr>
        <w:ind w:left="360" w:hanging="349"/>
        <w:spacing w:after="0"/>
        <w:tabs>
          <w:tab w:leader="none" w:pos="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Carlyle Global Credit Investment Management L.L.C.</w:t>
      </w:r>
    </w:p>
    <w:p>
      <w:pPr>
        <w:spacing w:after="0" w:line="117" w:lineRule="exact"/>
        <w:rPr>
          <w:sz w:val="20"/>
          <w:szCs w:val="20"/>
          <w:color w:val="auto"/>
        </w:rPr>
      </w:pPr>
    </w:p>
    <w:p>
      <w:pPr>
        <w:ind w:left="20" w:right="159"/>
        <w:spacing w:after="0" w:line="254" w:lineRule="auto"/>
        <w:rPr>
          <w:sz w:val="20"/>
          <w:szCs w:val="20"/>
          <w:color w:val="auto"/>
        </w:rPr>
      </w:pPr>
      <w:r>
        <w:rPr>
          <w:rFonts w:ascii="Times New Roman" w:cs="Times New Roman" w:eastAsia="Times New Roman" w:hAnsi="Times New Roman"/>
          <w:sz w:val="18"/>
          <w:szCs w:val="18"/>
          <w:color w:val="auto"/>
        </w:rPr>
        <w:t>CGCIM, an investment adviser registered with the Commission under the Advisers Act, serves as investment adviser to each of BDC I, BDC II, BDC III and CTAC and is responsible for sourcing potential investments, conducting research and due diligence on prospective investments and equity sponsors, analyzing investment opportunities, structuring the investments of BDC I, BDC II, CTAC and, after BDC III commences investment activities, BDC III and monitoring the investments and portfolio companies of BDC I, BDC II, CTAC and, after BDC III commences investment activities, BDC</w:t>
      </w:r>
    </w:p>
    <w:p>
      <w:pPr>
        <w:spacing w:after="0" w:line="3" w:lineRule="exact"/>
        <w:rPr>
          <w:sz w:val="20"/>
          <w:szCs w:val="20"/>
          <w:color w:val="auto"/>
        </w:rPr>
      </w:pPr>
    </w:p>
    <w:p>
      <w:pPr>
        <w:ind w:left="20" w:right="159" w:hanging="9"/>
        <w:spacing w:after="0" w:line="255" w:lineRule="auto"/>
        <w:tabs>
          <w:tab w:leader="none" w:pos="2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CGCIM serves and will serve as an investment adviser to certain Existing Affiliated Funds as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CGCIM is a limited liability company formed and existing under the laws of the State of Delaware. CGCIM is a wholly-owned subsidiary of Carlyle. The CGCIM Investment Committee includes:</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Mark Jenkins, Managing Director of Carlyle and Head of Carlyle Global Credit;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Justin Plouffe, Managing Director of Carlyle, Deputy Chief Investment Officer Global Credit;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Brian Marcus, Managing Director of Carlyle;</w:t>
      </w:r>
    </w:p>
    <w:p>
      <w:pPr>
        <w:spacing w:after="0" w:line="225" w:lineRule="exact"/>
        <w:rPr>
          <w:sz w:val="20"/>
          <w:szCs w:val="20"/>
          <w:color w:val="auto"/>
        </w:rPr>
      </w:pPr>
    </w:p>
    <w:p>
      <w:pPr>
        <w:ind w:left="20" w:right="539" w:firstLine="359"/>
        <w:spacing w:after="0" w:line="282" w:lineRule="auto"/>
        <w:rPr>
          <w:sz w:val="20"/>
          <w:szCs w:val="20"/>
          <w:color w:val="auto"/>
        </w:rPr>
      </w:pPr>
      <w:r>
        <w:rPr>
          <w:rFonts w:ascii="Times New Roman" w:cs="Times New Roman" w:eastAsia="Times New Roman" w:hAnsi="Times New Roman"/>
          <w:sz w:val="18"/>
          <w:szCs w:val="18"/>
          <w:color w:val="auto"/>
        </w:rPr>
        <w:t>Lauren Basmadjian, Managing Director of Carlyle, Head of Liquid Credit and Head of US Loans and Structured Credit;</w:t>
      </w:r>
    </w:p>
    <w:p>
      <w:pPr>
        <w:spacing w:after="0" w:line="162" w:lineRule="exact"/>
        <w:rPr>
          <w:sz w:val="20"/>
          <w:szCs w:val="20"/>
          <w:color w:val="auto"/>
        </w:rPr>
      </w:pPr>
    </w:p>
    <w:p>
      <w:pPr>
        <w:ind w:left="20" w:right="199" w:firstLine="359"/>
        <w:spacing w:after="0" w:line="282" w:lineRule="auto"/>
        <w:rPr>
          <w:sz w:val="20"/>
          <w:szCs w:val="20"/>
          <w:color w:val="auto"/>
        </w:rPr>
      </w:pPr>
      <w:r>
        <w:rPr>
          <w:rFonts w:ascii="Times New Roman" w:cs="Times New Roman" w:eastAsia="Times New Roman" w:hAnsi="Times New Roman"/>
          <w:sz w:val="18"/>
          <w:szCs w:val="18"/>
          <w:color w:val="auto"/>
        </w:rPr>
        <w:t>Linda Pace, Managing Director of Carlyle, Vice Chairperson of Global Credit and Chief Executive Officer of BDC I, BDC II and BDC III;</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Tom Hennigan, Managing Director of Carlyle and Chief Financial Officer of BDC I, BDC II and BDC III;</w:t>
      </w:r>
    </w:p>
    <w:p>
      <w:pPr>
        <w:spacing w:after="0" w:line="225" w:lineRule="exact"/>
        <w:rPr>
          <w:sz w:val="20"/>
          <w:szCs w:val="20"/>
          <w:color w:val="auto"/>
        </w:rPr>
      </w:pPr>
    </w:p>
    <w:p>
      <w:pPr>
        <w:ind w:left="20" w:right="559" w:firstLine="359"/>
        <w:spacing w:after="0" w:line="282" w:lineRule="auto"/>
        <w:rPr>
          <w:sz w:val="20"/>
          <w:szCs w:val="20"/>
          <w:color w:val="auto"/>
        </w:rPr>
      </w:pPr>
      <w:r>
        <w:rPr>
          <w:rFonts w:ascii="Times New Roman" w:cs="Times New Roman" w:eastAsia="Times New Roman" w:hAnsi="Times New Roman"/>
          <w:sz w:val="18"/>
          <w:szCs w:val="18"/>
          <w:color w:val="auto"/>
        </w:rPr>
        <w:t>Michael Hadley, Chief Investment Officer and Head of Underwriting of Carlyle Direct Lending and a Managing Director of Carlyle;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Alex Popov, Managing Director of Carlyle, Head of Opportunistic Credit and Head of Illiquid Credit;</w:t>
      </w:r>
    </w:p>
    <w:p>
      <w:pPr>
        <w:spacing w:after="0" w:line="225" w:lineRule="exact"/>
        <w:rPr>
          <w:sz w:val="20"/>
          <w:szCs w:val="20"/>
          <w:color w:val="auto"/>
        </w:rPr>
      </w:pPr>
    </w:p>
    <w:p>
      <w:pPr>
        <w:ind w:left="20" w:right="519" w:firstLine="359"/>
        <w:spacing w:after="0" w:line="282" w:lineRule="auto"/>
        <w:rPr>
          <w:sz w:val="20"/>
          <w:szCs w:val="20"/>
          <w:color w:val="auto"/>
        </w:rPr>
      </w:pPr>
      <w:r>
        <w:rPr>
          <w:rFonts w:ascii="Times New Roman" w:cs="Times New Roman" w:eastAsia="Times New Roman" w:hAnsi="Times New Roman"/>
          <w:sz w:val="18"/>
          <w:szCs w:val="18"/>
          <w:color w:val="auto"/>
        </w:rPr>
        <w:t>John Pavelski, Managing Director of Carlyle and Co-head of North America for the Carlyle Credit Opportunities Funds;</w:t>
      </w:r>
    </w:p>
    <w:p>
      <w:pPr>
        <w:spacing w:after="0" w:line="162" w:lineRule="exact"/>
        <w:rPr>
          <w:sz w:val="20"/>
          <w:szCs w:val="20"/>
          <w:color w:val="auto"/>
        </w:rPr>
      </w:pPr>
    </w:p>
    <w:p>
      <w:pPr>
        <w:ind w:left="20" w:right="479" w:firstLine="359"/>
        <w:spacing w:after="0" w:line="282" w:lineRule="auto"/>
        <w:rPr>
          <w:sz w:val="20"/>
          <w:szCs w:val="20"/>
          <w:color w:val="auto"/>
        </w:rPr>
      </w:pPr>
      <w:r>
        <w:rPr>
          <w:rFonts w:ascii="Times New Roman" w:cs="Times New Roman" w:eastAsia="Times New Roman" w:hAnsi="Times New Roman"/>
          <w:sz w:val="18"/>
          <w:szCs w:val="18"/>
          <w:color w:val="auto"/>
        </w:rPr>
        <w:t>Andreas Boye, Managing Director of Carlyle and Co-head of North America for the Carlyle Credit Opportunities Funds; and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Bruce Rosenblum, Managing Director of Carlyle.</w:t>
      </w:r>
    </w:p>
    <w:p>
      <w:pPr>
        <w:spacing w:after="0" w:line="221" w:lineRule="exact"/>
        <w:rPr>
          <w:sz w:val="20"/>
          <w:szCs w:val="20"/>
          <w:color w:val="auto"/>
        </w:rPr>
      </w:pPr>
    </w:p>
    <w:p>
      <w:pPr>
        <w:ind w:left="20" w:right="11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CGCIM Investment Committee</w:t>
      </w:r>
      <w:r>
        <w:rPr>
          <w:rFonts w:ascii="Times New Roman" w:cs="Times New Roman" w:eastAsia="Times New Roman" w:hAnsi="Times New Roman"/>
          <w:sz w:val="18"/>
          <w:szCs w:val="18"/>
          <w:color w:val="auto"/>
        </w:rPr>
        <w:t>” refers collectively to the investment committee at CGCIM that is responsible for reviewing and approving investments for BDC I, BDC II and BDC III and the portfolio management team of CTAC that is responsible for reviewing and approving investments for CTAC. The members of the CGCIM Investment Committee are employees of The Carlyle Group Employee Co., L.L.C. (“</w:t>
      </w:r>
      <w:r>
        <w:rPr>
          <w:rFonts w:ascii="Times New Roman" w:cs="Times New Roman" w:eastAsia="Times New Roman" w:hAnsi="Times New Roman"/>
          <w:sz w:val="18"/>
          <w:szCs w:val="18"/>
          <w:b w:val="1"/>
          <w:bCs w:val="1"/>
          <w:i w:val="1"/>
          <w:iCs w:val="1"/>
          <w:color w:val="auto"/>
        </w:rPr>
        <w:t>Carlyle Employee Co.</w:t>
      </w:r>
      <w:r>
        <w:rPr>
          <w:rFonts w:ascii="Times New Roman" w:cs="Times New Roman" w:eastAsia="Times New Roman" w:hAnsi="Times New Roman"/>
          <w:sz w:val="18"/>
          <w:szCs w:val="18"/>
          <w:color w:val="auto"/>
        </w:rPr>
        <w:t>”) and are made available to CGCIM by agreement. CGCIM has developed a robust allocation process as part of its overall compliance policies and procedures. CGCIM would present the Potential Co-Investment Transaction and the proposed allocation to the CGCIM Investment Committee for its approval. If the CGCIM Investment Committee approved an investment for BDC I, BDC II, BDC III or CTAC, as applicable, the investment and all relevant allocation information would then be presented to the BDC I Board, the BDC II Board, the BDC III Board or the CTAC Board, as applicable, for its approval in accordance with the Conditions of this Application. Other Advisers will implement similarly robust allocation procedures that will ensure that all Potential Co-Investment Transactions that any other Adviser considers for an Affiliated Fund will also be presented to each Adviser to a Regulated Fund in compliance with Condition 1. Any other Adviser to a Regulated Fund will be registered as an investment adviser under the Advisers Act.</w:t>
      </w:r>
    </w:p>
    <w:p>
      <w:pPr>
        <w:spacing w:after="0" w:line="340" w:lineRule="exact"/>
        <w:rPr>
          <w:sz w:val="20"/>
          <w:szCs w:val="20"/>
          <w:color w:val="auto"/>
        </w:rPr>
      </w:pPr>
    </w:p>
    <w:p>
      <w:pPr>
        <w:ind w:left="360" w:hanging="349"/>
        <w:spacing w:after="0"/>
        <w:tabs>
          <w:tab w:leader="none" w:pos="3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Affiliated Funds</w:t>
      </w:r>
    </w:p>
    <w:p>
      <w:pPr>
        <w:spacing w:after="0" w:line="117" w:lineRule="exact"/>
        <w:rPr>
          <w:sz w:val="20"/>
          <w:szCs w:val="20"/>
          <w:color w:val="auto"/>
        </w:rPr>
      </w:pPr>
    </w:p>
    <w:p>
      <w:pPr>
        <w:ind w:left="20" w:right="39"/>
        <w:spacing w:after="0" w:line="255" w:lineRule="auto"/>
        <w:rPr>
          <w:sz w:val="20"/>
          <w:szCs w:val="20"/>
          <w:color w:val="auto"/>
        </w:rPr>
      </w:pPr>
      <w:r>
        <w:rPr>
          <w:rFonts w:ascii="Times New Roman" w:cs="Times New Roman" w:eastAsia="Times New Roman" w:hAnsi="Times New Roman"/>
          <w:sz w:val="18"/>
          <w:szCs w:val="18"/>
          <w:color w:val="auto"/>
        </w:rPr>
        <w:t xml:space="preserve">CGCIM, an investment adviser registered with the Commission under the Advisers Act, and Carlyle CLO Manager, a relying adviser of CIM and under common control with CGCIM, manage the Private Credit Existing CGCIM-Advised Fund and the Structured Credit Existing CLOs, respectively. The European Manager manages the European CLOs. CGCIM is the investment adviser to the Private Credit Existing Non-CGCIM-Advised Funds, the Structured Credit Non-CLO Fund, the Energy Credit Existing Affiliated Funds, the Opportunistic Credit Existing Affiliated Funds, the Distressed Credit Existing Affiliated Funds and the Infrastructure Credit Fund. A complete list of the Existing Affiliated Funds is included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hanging="452"/>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CELF Advisors LLP</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European Manager is a wholly-owned subsidiary of Carlyle and is an exempt reporting adviser under the Advisers Act, formed as a limited liability partnership in the United Kingdom. It is registered with the UK Financial Conduct Authority (the “</w:t>
      </w:r>
      <w:r>
        <w:rPr>
          <w:rFonts w:ascii="Times New Roman" w:cs="Times New Roman" w:eastAsia="Times New Roman" w:hAnsi="Times New Roman"/>
          <w:sz w:val="18"/>
          <w:szCs w:val="18"/>
          <w:b w:val="1"/>
          <w:bCs w:val="1"/>
          <w:i w:val="1"/>
          <w:iCs w:val="1"/>
          <w:color w:val="auto"/>
        </w:rPr>
        <w:t>FCA</w:t>
      </w:r>
      <w:r>
        <w:rPr>
          <w:rFonts w:ascii="Times New Roman" w:cs="Times New Roman" w:eastAsia="Times New Roman" w:hAnsi="Times New Roman"/>
          <w:sz w:val="18"/>
          <w:szCs w:val="18"/>
          <w:color w:val="auto"/>
        </w:rPr>
        <w:t>”) and provides investment management or advisory services to the European CLOs.</w:t>
      </w:r>
    </w:p>
    <w:p>
      <w:pPr>
        <w:spacing w:after="0" w:line="324"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Carlyle CLO Management L.L.C.</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Carlyle CLO Manager is a limited liability company formed and existing under the laws of the State of Delaware. Carlyle CLO Manager is a wholly-owned subsidiary of CIM and a relying adviser of CIM. Carlyle CLO Manager operates along with CIM and its adviser subsidiaries that collectively conduct a single advisory business. Carlyle CLO Manager provides advisory services to the Structured Credit Existing CLOs, as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as their collateral manager.</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Structured Credit Existing CLOs managed by Carlyle CLO Manager primarily invest in performing broadly syndicated senior secured bank loans. The investment decisions for the Structured Credit Existing CLOs are overseen by a credit committee comprising senior investment professionals of Carlyle. The credit committee reviews credit, liquidity, interest rate risk and compliance with the conditions of the funds’ underlying indentures (such as concentration limitations, collateral quality and collateral obligations). The credit committee also reviews general economic and market conditions, political events, industry trends and changes in interest rates. The U.S. structured credit team at Carlyle CLO Manager closely monitors investments of the Structured Credit Existing CLOs. The U.S. structured credit team also conducts internal ongoing reviews of individual credits, market activity and the current trading environment.</w:t>
      </w:r>
    </w:p>
    <w:p>
      <w:pPr>
        <w:spacing w:after="0" w:line="337"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TCG Capital Markets L.L.C.</w:t>
      </w:r>
    </w:p>
    <w:p>
      <w:pPr>
        <w:spacing w:after="0" w:line="117"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TCG Capital Markets is a Delaware limited liability company formed on October 12, 2017 and existing under the laws of the State of Delaware. TCG Capital Markets is a majority-owned subsidiary of Carlyle. TCG Capital Markets is the affiliated entity through which Carlyle underwrites, syndicates, places and arranges securities of corporate issuers, among other related activities, including U.S.-based marketing and fundraising for Global Credit.</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TCG Capital Markets is registered as a limited purpose broker-dealer with the Commission and is a member of the Financial Industry Regulatory Authority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It is also registered as a broker-dealer in all 50 states and the District of Columbia.</w:t>
      </w:r>
    </w:p>
    <w:p>
      <w:pPr>
        <w:spacing w:after="0" w:line="310"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TCG Senior Funding L.L.C.</w:t>
      </w:r>
    </w:p>
    <w:p>
      <w:pPr>
        <w:spacing w:after="0" w:line="11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TCG Senior Funding is a Delaware limited liability company formed on October 12, 2017 and existing under the laws of the State of Delaware. TCG Senior Funding is a majority-owned subsidiary of Carlyle, and was formed to originate, underwrite, structure and place loans. TCG Senior Funding is advised by CGCIM pursuant to an investment management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270" w:right="339" w:bottom="1440" w:gutter="0" w:footer="0" w:header="0"/>
        </w:sectPr>
      </w:pPr>
    </w:p>
    <w:bookmarkStart w:id="17" w:name="page18"/>
    <w:bookmarkEnd w:id="17"/>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ORDER REQUESTED</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Applicants respectfully request an Order of the Commission under Sections 17(d), 57(a)(4) and 57(i) and Rule 17d-1 thereunder to permit, subject to the terms and Conditions set forth below in this Application, a Regulated Fund and one or more other Regulated Funds, one or more Affiliated Funds and/or one or more Capital Markets Affiliates to enter into Co-Investment Transactions with each other.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Regulated Funds, the Affiliated Funds and Capital Markets Affiliates seek relief to enter into Co-Investment Transactions because such Co-Investment Transactions would otherwise be prohibited by either or both of Section 17(d) or Section 57(a)(4) and the Rules under the Act. This Application seeks relief in order to (i) enable the Regulated Funds, Affiliated Funds and Capital Markets Affiliates to avoid, among other things, the practical commercial and/or economic difficulties of trying to structure, negotiate and persuade counterparties to enter into transactions while awaiting the granting of the relief requested in individual applications with respect to each Co-Investment Transaction that arises in the future and (ii) enable the Regulated Funds, the Affiliated Funds and the Capital Markets Affiliates to avoid the significant legal and other expenses that would be incurred in preparing such individual applications. Advisers may not be registered as investment advisers with the Commission because they are exempt reporting advisers or foreign private advisers. However, as discussed below, all of the Applicants’ investment activities are conducted within a global investment committee and allocation process, which is overseen by a unified global compliance program that has complete transparency into the activities of all of the Advisers from within the U.S., regardless of their regulatory status under the Advisers Act. Furthermore, the global processes and compliance program would ensure that the Commission has complete transparency into the Co-Investment Program and the Advisers involved with the Co-Investment Program through its access to CGCIM.</w:t>
      </w:r>
    </w:p>
    <w:p>
      <w:pPr>
        <w:spacing w:after="0" w:line="338"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Overview</w:t>
      </w:r>
    </w:p>
    <w:p>
      <w:pPr>
        <w:spacing w:after="0" w:line="117"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 xml:space="preserve">Applicants include the Existing Advisers, which are under the common control of Carlyle. CGCIM, the European Manager and Carlyle CLO Manager manage private credit and structured credit funds and separate accounts with a variety of mandates, and CGCIM is expected to manage energy credit, opportunistic credit and distressed credit funds with a variety of mandates. The clients of CGCIM currently include two BDCs, an interval fund, and an Existing Affiliated Fund as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CGCIM will also serve as the investment adviser to certain Existing Affiliated Funds as identified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of CGCIM, the European Manager and Carlyle CLO Manager manages, and each of the Future Advisers will manage, the assets entrusted to it by its clients in accordance with its fiduciary duty to those clients and, in the case of the BDCs and the registered investment companies, the Act.</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Each of CGCIM , the European Manager and Carlyle CLO Manager is, and the Future Advisers will be, presented with many investment opportunities each year on behalf of their clients and must determine how to allocate those opportunities in a manner that, is fair and equitable to all of their clients, and without violating the prohibitions on joint transactions included in Rule 17d-1 and Section 57(a)(4) of the Act. Such investment opportunities may be joint transactions such that the Advisers may not include a Regulated Fund in the allocation if another Regulated Fund and/or any Affiliated Fund is participating. Once invested in a security, the Regulated Funds and Affiliated Funds often have the opportunity to either complete an additional investment in the same issuer or exit the investment in a transaction that may be a joint transaction. If a Regulated Fund and one or more Affiliated Funds are invested in an issuer, such funds may not participate in a follow-on investment or exit the investment if the terms of the transaction would be a prohibited joint transaction.</w:t>
      </w:r>
    </w:p>
    <w:p>
      <w:pPr>
        <w:spacing w:after="0" w:line="192"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As a result, the Regulated Funds and Affiliated Funds are limited in the types of transactions in which they can participate with each other, and the Regulated Funds often must forego transactions that would be beneficial to investors in the Regulated Funds. Thus, Applicants are seeking the relief requested by the Application for certain initial investments, Follow-On Investments, and Dispositions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Applicants discuss the need for the requested relief in greater detail in Section III.C below.</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of CGCIM, the European Manager and Carlyle CLO Manager has established, and the Future Advisers will establish, rigorous processes for allocating initial investment opportunities, opportunities for subsequent investments in an issuer and dispositions of securities holdings reasonably designed to treat all clients fairly and equitably. As discussed below, these processes will be extended and modified in a manner reasonably designed to ensure that the additional transactions permitted under the Order will both (i) be fair and equitable to the Regulated Funds and the Affiliated Funds and (ii) comply with the Conditions contained in the Order.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266" w:right="339" w:bottom="1440" w:gutter="0" w:footer="0" w:header="0"/>
        </w:sectPr>
      </w:pPr>
    </w:p>
    <w:bookmarkStart w:id="18" w:name="page19"/>
    <w:bookmarkEnd w:id="18"/>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Investment Process</w:t>
      </w:r>
    </w:p>
    <w:p>
      <w:pPr>
        <w:spacing w:after="0" w:line="11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investment process consists of three stages: (i) the identification and consideration of investment opportunities (including follow-on investment opportunities); (ii) order placement and allocation; and (iii) consideration by each applicable Regulated Fund’s Board when a Potential Co-Investment Transaction is being considered by one or more Regulated Funds, as provided by the Order.</w:t>
      </w:r>
    </w:p>
    <w:p>
      <w:pPr>
        <w:spacing w:after="0" w:line="324" w:lineRule="exact"/>
        <w:rPr>
          <w:sz w:val="20"/>
          <w:szCs w:val="20"/>
          <w:color w:val="auto"/>
        </w:rPr>
      </w:pPr>
    </w:p>
    <w:p>
      <w:pPr>
        <w:ind w:left="2020" w:hanging="554"/>
        <w:spacing w:after="0"/>
        <w:tabs>
          <w:tab w:leader="none" w:pos="2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Consideration of Investment Opportunities</w:t>
      </w:r>
    </w:p>
    <w:p>
      <w:pPr>
        <w:spacing w:after="0" w:line="117" w:lineRule="exact"/>
        <w:rPr>
          <w:sz w:val="20"/>
          <w:szCs w:val="20"/>
          <w:color w:val="auto"/>
        </w:rPr>
      </w:pPr>
    </w:p>
    <w:p>
      <w:pPr>
        <w:ind w:right="280"/>
        <w:spacing w:after="0" w:line="230" w:lineRule="auto"/>
        <w:rPr>
          <w:sz w:val="20"/>
          <w:szCs w:val="20"/>
          <w:color w:val="auto"/>
        </w:rPr>
      </w:pPr>
      <w:r>
        <w:rPr>
          <w:rFonts w:ascii="Times New Roman" w:cs="Times New Roman" w:eastAsia="Times New Roman" w:hAnsi="Times New Roman"/>
          <w:sz w:val="18"/>
          <w:szCs w:val="18"/>
          <w:color w:val="auto"/>
        </w:rPr>
        <w:t>Each of CGCIM, the European Manager and Carlyle CLO Manager is, and the Future Advisers will be, organized and managed such that the individual portfolio managers, as well as the teams and committees of portfolio managers, analysts and senior management (“</w:t>
      </w:r>
      <w:r>
        <w:rPr>
          <w:rFonts w:ascii="Times New Roman" w:cs="Times New Roman" w:eastAsia="Times New Roman" w:hAnsi="Times New Roman"/>
          <w:sz w:val="18"/>
          <w:szCs w:val="18"/>
          <w:b w:val="1"/>
          <w:bCs w:val="1"/>
          <w:i w:val="1"/>
          <w:iCs w:val="1"/>
          <w:color w:val="auto"/>
        </w:rPr>
        <w:t>Investment Teams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Committees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responsible for evaluating investment opportunities and making investment decisions on behalf of clients are promptly notified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Opportunities for Potential Co-Investment Transactions may arise when investment advisory personnel of an Adviser or a Capital Markets Affiliate become aware of investment opportunities that may be appropriate for one or more Regulated Funds, one or more Affiliated Funds and one or more Capital Markets Affiliates. If the requested Order is granted, the Advisers will establish, maintain and implement policies and procedures reasonably designed to ensure that, when such opportunities arise, the Advisers to the relevant Regulated Funds are promptly notified and receive the same information about the opportunity as any other Advisers considering the opportunity for their clients or as any Capital Markets Affiliates considering the opportunity for themselves. In particular, consistent with Condition 1, if a Potential Co-Investment Transaction falls within the then-current Objectives and Strategies and any Board-Established Criteria of a Regulated Fund, the policies and procedures will require that the relevant portfolio managers, Investment Teams and/or Investment Committees responsible for that Regulated Fund receive sufficient information to allow the Regulated Fund’s Adviser to make its independent determination and recommendations under Conditions 1, 2(a), 6, 7, 8 and 9 (as applicable).</w:t>
      </w:r>
      <w:r>
        <w:rPr>
          <w:rFonts w:ascii="Times New Roman" w:cs="Times New Roman" w:eastAsia="Times New Roman" w:hAnsi="Times New Roman"/>
          <w:sz w:val="26"/>
          <w:szCs w:val="26"/>
          <w:color w:val="auto"/>
          <w:vertAlign w:val="superscript"/>
        </w:rPr>
        <w:t>11</w:t>
      </w:r>
      <w:r>
        <w:rPr>
          <w:rFonts w:ascii="Times New Roman" w:cs="Times New Roman" w:eastAsia="Times New Roman" w:hAnsi="Times New Roman"/>
          <w:sz w:val="18"/>
          <w:szCs w:val="18"/>
          <w:color w:val="auto"/>
        </w:rPr>
        <w:t xml:space="preserve"> In addition, the policies and procedures will specify the individuals or roles responsible for carrying out the policies and procedures, including ensuring that the Advisers receive such information. After receiving notification of a Potential Co-Investment Transaction under Condition 1(a), the Adviser to each applicable Regulated Fund, working through the applicable portfolio manager, or in conjunction with any applicable Investment Team or Investment Committee, will then make an independent determination of the appropriateness of the investment for the Regulated Fund in light of the Regulated Fund’s then-current circumstances.</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Applicants acknowledge that the Capital Markets Affiliates are not funds advised by Advisers because they are either Carlyle Broker-Dealer Subsidiaries, which are regulated broker-dealers or their foreign equivalents or the wholly-owned subsidiaries of such regulated entities, or the Carlyle Proprietary Accounts, which are advised by Advisers pursuant to investment management agreements. The Applicants do not believe that the participation of the Capital Markets Affiliates in Co-Investment Transactions would raise any regulatory or mechanical concerns different from those discussed with respect to the Affiliated Funds. With respect to Potential Co-Investment Transactions within a Regulated Fund’s Objectives and Strategies and Board-Established Criteria that are considered by a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886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right="880" w:hanging="452"/>
        <w:spacing w:after="0" w:line="208" w:lineRule="auto"/>
        <w:tabs>
          <w:tab w:leader="none" w:pos="460" w:val="left"/>
        </w:tabs>
        <w:numPr>
          <w:ilvl w:val="0"/>
          <w:numId w:val="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Investment Teams and Investment Committees responsible for an area of investment may include portfolio managers, analysts and senior management from one or more of the Advisers.</w:t>
      </w:r>
    </w:p>
    <w:p>
      <w:pPr>
        <w:spacing w:after="0" w:line="1" w:lineRule="exact"/>
        <w:rPr>
          <w:rFonts w:ascii="Times New Roman" w:cs="Times New Roman" w:eastAsia="Times New Roman" w:hAnsi="Times New Roman"/>
          <w:sz w:val="27"/>
          <w:szCs w:val="27"/>
          <w:color w:val="auto"/>
          <w:vertAlign w:val="superscript"/>
        </w:rPr>
      </w:pPr>
    </w:p>
    <w:p>
      <w:pPr>
        <w:ind w:left="460" w:right="20" w:hanging="452"/>
        <w:spacing w:after="0" w:line="231" w:lineRule="auto"/>
        <w:tabs>
          <w:tab w:leader="none" w:pos="460" w:val="left"/>
        </w:tabs>
        <w:numPr>
          <w:ilvl w:val="0"/>
          <w:numId w:val="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Representatives from each Adviser to a Regulated Fund are members of each Investment Team or Investment Committee, or are otherwise entitled to participate in each meeting of any Investment Team or Investment Committee, that is expected to approve or reject recommended investment opportunities falling within its Regulated Funds’ Objectives and Strategies and Board-Established Criteria. Accordingly, the policies and procedures may provide, for example, that the Adviser will receive the information required under Condition 1 in conjunction with its representatives’ participation in the relevant Investment Team or Investment Committee. The Investment Teams and Investment Committees will keep minutes of their meetings, and such minutes will include reference to the specific investment opportunities considered at the meeting.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270" w:right="359" w:bottom="1440" w:gutter="0" w:footer="0" w:header="0"/>
        </w:sectPr>
      </w:pPr>
    </w:p>
    <w:bookmarkStart w:id="19" w:name="page20"/>
    <w:bookmarkEnd w:id="19"/>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 that is either a Carlyle Broker-Dealer Subsidiary or a Carlyle Proprietary Account, such Potential Co-Investment Transactions will be referred to the Advisers of the Regulated Funds either by the Carlyle Broker-Dealer Subsidiary or by the Adviser of the Carlyle Proprietary Account to ensure that Condition 1(a) will be satisfied.</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Applicants represent that, if the requested Order is granted, the investment advisory personnel of the Advisers to the Regulated Funds will be charged with making sure they identify, and participate in this process with respect to, each investment opportunity that falls within the Objectives and Strategies and Board-Established Criteria of each Regulated Fund. Applicants assert that the Advisers’ allocation policies and procedures will be structured so that the relevant investment advisory personnel for each Regulated Fund will be promptly notified of all Potential Co-Investment Transactions that fall within the then-current Objectives and Strategies and Board-Established Criteria of such Regulated Fund and that the Advisers will undertake to perform these duties regardless of whether the Advisers serve as investment adviser or sub-adviser to the Affiliated Funds.</w:t>
      </w:r>
    </w:p>
    <w:p>
      <w:pPr>
        <w:spacing w:after="0" w:line="336" w:lineRule="exact"/>
        <w:rPr>
          <w:sz w:val="20"/>
          <w:szCs w:val="20"/>
          <w:color w:val="auto"/>
        </w:rPr>
      </w:pPr>
    </w:p>
    <w:p>
      <w:pPr>
        <w:ind w:left="2020" w:hanging="554"/>
        <w:spacing w:after="0"/>
        <w:tabs>
          <w:tab w:leader="none" w:pos="2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Order Placement and Allocation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If the Adviser to a Regulated Fund deems the Regulated Fund’s participation in any Potential Co-Investment Transaction to be appropriate, it will, working through the applicable portfolio manager or in conjunction with any applicable Investment Team or Investment Committee, formulate a recommendation regarding the proposed order amount for the Regulated Fund. In doing so, the Adviser and any applicable Investment Team or Investment Committee may consider such factors, among others, as investment guidelines, issuer, industry and geographical concentration, availability of cash and other opportunities for which cash is needed, tax considerations, leverage covenants, regulatory constraints (such as requirements under the Act), investment horizon, potential liquidity needs, and the Regulated Fund’s risk concentration policies.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each of BDC I, BDC II, BDC III and CTAC has substantially similar investment objectives and investment policies with regard to Middle Market Senior Loans, it is anticipated that any Middle Market Senior Loans to a portfolio company that are an appropriate investment for one will be an appropriate investment for the other, with certain exceptions based on Board-Established Criteria, capital available for investment, diversification or other investment limitations. As a result, Co-Investment Transactions in Middle Market Senior Loans that meet the eligibility criteria of all of BDC I, BDC II, BDC III and CTAC would be the norm, rather than the exception. While co-investment would be the norm, each transaction and the proposed allocation of each investment opportunity would be approved prior to the actual investment by the Required Majority as discussed below.</w:t>
      </w:r>
    </w:p>
    <w:p>
      <w:pPr>
        <w:spacing w:after="0" w:line="187"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u w:val="single" w:color="auto"/>
          <w:color w:val="auto"/>
        </w:rPr>
        <w:t>Allocation Procedure</w:t>
      </w:r>
      <w:r>
        <w:rPr>
          <w:rFonts w:ascii="Times New Roman" w:cs="Times New Roman" w:eastAsia="Times New Roman" w:hAnsi="Times New Roman"/>
          <w:sz w:val="18"/>
          <w:szCs w:val="18"/>
          <w:color w:val="auto"/>
        </w:rPr>
        <w:t>. For each Regulated Fund and Affiliated Fund whose Adviser recommends participating in a Potential Co-Investment Transaction, the Adviser will submit a proposed order amount to the internal pre-trade compliance system, which will be reviewed by the Chief Risk Officer of each Regulated Fund. Prior to the External Submission (as defined below), each proposed order amount may be reviewed and adjusted, in accordance with the Advisers’ written allocation policies and procedures, by a credit opportunity allocation committee to be established by the Advisers on which senior management and at least one legal/ compliance person participate.</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The order of a Regulated Fund or Affiliated Fund resulting from this process is referred to as its “</w:t>
      </w:r>
      <w:r>
        <w:rPr>
          <w:rFonts w:ascii="Times New Roman" w:cs="Times New Roman" w:eastAsia="Times New Roman" w:hAnsi="Times New Roman"/>
          <w:sz w:val="18"/>
          <w:szCs w:val="18"/>
          <w:b w:val="1"/>
          <w:bCs w:val="1"/>
          <w:i w:val="1"/>
          <w:iCs w:val="1"/>
          <w:color w:val="auto"/>
        </w:rPr>
        <w:t>Internal Order</w:t>
      </w:r>
      <w:r>
        <w:rPr>
          <w:rFonts w:ascii="Times New Roman" w:cs="Times New Roman" w:eastAsia="Times New Roman" w:hAnsi="Times New Roman"/>
          <w:sz w:val="18"/>
          <w:szCs w:val="18"/>
          <w:color w:val="auto"/>
        </w:rPr>
        <w:t>.” The Internal Order will be submitted for approval by the Required Majority of any participating Regulated Funds in accordance with the Conditions and as discussed in Section III.A.1.c below.</w:t>
      </w:r>
    </w:p>
    <w:p>
      <w:pPr>
        <w:spacing w:after="0" w:line="20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If the aggregate Internal Orders for a Potential Co-Investment Transaction do not exceed the size of the investment opportunity immediately prior to the submission of the orders to the underwriter, broker, dealer or issuer, as applicable (the “</w:t>
      </w:r>
      <w:r>
        <w:rPr>
          <w:rFonts w:ascii="Times New Roman" w:cs="Times New Roman" w:eastAsia="Times New Roman" w:hAnsi="Times New Roman"/>
          <w:sz w:val="18"/>
          <w:szCs w:val="18"/>
          <w:b w:val="1"/>
          <w:bCs w:val="1"/>
          <w:i w:val="1"/>
          <w:iCs w:val="1"/>
          <w:color w:val="auto"/>
        </w:rPr>
        <w:t>External Submission</w:t>
      </w:r>
      <w:r>
        <w:rPr>
          <w:rFonts w:ascii="Times New Roman" w:cs="Times New Roman" w:eastAsia="Times New Roman" w:hAnsi="Times New Roman"/>
          <w:sz w:val="18"/>
          <w:szCs w:val="18"/>
          <w:color w:val="auto"/>
        </w:rPr>
        <w:t>”), then each Internal Order will be fulfilled as placed. If, on the other hand, the aggregate Internal Orders for a Potential Co-Investment Transaction exceed the size of the investment opportunity immediately prior to the External Submission, then the allocation of the opportunity will be made pro rata on the basis of the size of the Internal Orders.</w:t>
      </w:r>
      <w:r>
        <w:rPr>
          <w:rFonts w:ascii="Times New Roman" w:cs="Times New Roman" w:eastAsia="Times New Roman" w:hAnsi="Times New Roman"/>
          <w:sz w:val="26"/>
          <w:szCs w:val="26"/>
          <w:color w:val="auto"/>
          <w:vertAlign w:val="superscript"/>
        </w:rPr>
        <w:t>13</w:t>
      </w:r>
      <w:r>
        <w:rPr>
          <w:rFonts w:ascii="Times New Roman" w:cs="Times New Roman" w:eastAsia="Times New Roman" w:hAnsi="Times New Roman"/>
          <w:sz w:val="18"/>
          <w:szCs w:val="18"/>
          <w:color w:val="auto"/>
        </w:rPr>
        <w:t xml:space="preserve"> If, subsequent to such External Submission, the size of the opportunity is increased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88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22"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reason for any such adjustment to a proposed order amount will be documented in writing and preserved in the records of the Advisers.</w:t>
      </w:r>
    </w:p>
    <w:p>
      <w:pPr>
        <w:spacing w:after="0" w:line="1" w:lineRule="exact"/>
        <w:rPr>
          <w:rFonts w:ascii="Times New Roman" w:cs="Times New Roman" w:eastAsia="Times New Roman" w:hAnsi="Times New Roman"/>
          <w:sz w:val="27"/>
          <w:szCs w:val="27"/>
          <w:color w:val="auto"/>
          <w:vertAlign w:val="superscript"/>
        </w:rPr>
      </w:pPr>
    </w:p>
    <w:p>
      <w:pPr>
        <w:ind w:left="460" w:right="220" w:hanging="452"/>
        <w:spacing w:after="0" w:line="222" w:lineRule="auto"/>
        <w:tabs>
          <w:tab w:leader="none" w:pos="460" w:val="left"/>
        </w:tabs>
        <w:numPr>
          <w:ilvl w:val="0"/>
          <w:numId w:val="4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Advisers will maintain records of all proposed order amounts, Internal Orders and External Submissions in conjunction with Potential Co-Investment Transactions. Each applicable Adviser will provide the Eligible Directors with information concerning the Affiliated Funds’ and Regulated Funds’ order sizes to assist the Eligible Directors with their review of the applicable Regulated Fund’s investments for compliance with the Conditions.</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320" w:top="270" w:right="379" w:bottom="1440" w:gutter="0" w:footer="0" w:header="0"/>
        </w:sectPr>
      </w:pPr>
    </w:p>
    <w:bookmarkStart w:id="20" w:name="page21"/>
    <w:bookmarkEnd w:id="20"/>
    <w:p>
      <w:pPr>
        <w:ind w:right="1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decreased, or if the terms of such opportunity, or the facts and circumstances applicable to the Regulated Funds’ or the Affiliated Funds’ consideration of the opportunity, change, the participants will be permitted to submit revised Internal Orders in accordance with written allocation policies and procedures that the Advisers will establish, implement and maintain;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size of the opportunity is decreased such that the aggregate of the original Internal Orders would exceed the amount of the remaining investment opportunity, then upon submitting any revised order amount to the Board of a Regulated Fund for approval, the Adviser to the Regulated Fund will also notify the Board promptly of the amount that the Regulated Fund would receive if the remaining investment opportunity were allocated pro rata on the basis of the size of the original Internal Orders. The Board of the Regulated Fund will then either approve or disapprove of the investment opportunity in accordance with Condition 2, 6, 7, 8 or 9, as applicable.</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Applicants represent that the allocation review process of each of CGCIM, the European Manager and Carlyle CLO Manager is, and the allocation review process of the Future Advisers will be, a robust process designed as part of their overall compliance policies and procedures to ensure that every client is treated fairly and that the Advisers are following their allocation policies. The allocation process is monitored and reviewed by the compliance team, led by the chief compliance officer, and approved by the Board of each Regulated Fund.</w:t>
      </w:r>
    </w:p>
    <w:p>
      <w:pPr>
        <w:spacing w:after="0" w:line="328" w:lineRule="exact"/>
        <w:rPr>
          <w:sz w:val="20"/>
          <w:szCs w:val="20"/>
          <w:color w:val="auto"/>
        </w:rPr>
      </w:pPr>
    </w:p>
    <w:p>
      <w:pPr>
        <w:ind w:left="2020" w:hanging="554"/>
        <w:spacing w:after="0"/>
        <w:tabs>
          <w:tab w:leader="none" w:pos="2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of Potential Co-Investment Transactions</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Regulated Fund will enter into a Potential Co-Investment Transaction with one or more other Regulated Funds, one or more Affiliated Funds and/or one or more Capital Markets Affiliates only if, prior to the Regulated Fund’s participation in the Potential Co-Investment Transaction, the Required Majority approves it in accordance with the Conditions of this Order.</w:t>
      </w:r>
    </w:p>
    <w:p>
      <w:pPr>
        <w:spacing w:after="0" w:line="17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case of a BDC Downstream Fund with an Independent Party consisting of a transaction committee or advisory committee, the individuals on the committee would possess experience and training comparable to that of the directors of the parent Regulated Fund and sufficient to permit them to make informed decisions on behalf of the applicable BDC Downstream Fund. The use of Independent Parties for BDC Downstream Funds results in a standard of approval that Applicants believe is equally as stringent as the standard of approval that a board of directors would apply. Most importantly, Applicants represent that the Independent Parties of the BDC Downstream Funds would be bound (by law or by contract) by fiduciary duties comparable to those applicable to the directors of the parent Regulated Fund, including a duty to act in the best interests of their respective funds when approving transactions. These duties would apply in the case of all Potential Co-Investment Transactions, including transactions that could present a conflict of interest.</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Further, Applicants believe that the existence of differing routes of approval between the BDC Downstream Funds and other Regulated Funds would not result in Applicants investing through the BDC Downstream Funds in order to avoid obtaining the approval of a Regulated Fund’s Board. Each Regulated Fund and BDC Downstream Fund has its own Objectives and Strategies and may have its own Board-Established Criteria, the implementation of which depends on the specific circumstances of the entity’s portfolio at the time an investment opportunity is presented. As noted above, consistent with its duty to its BDC Downstream Funds, the Independent Party must reach a conclusion on whether or not an investment is in the best interest of its relevant BDC Downstream Funds. An investment made solely to avoid an approval requirement at the Regulated Fund level should not be viewed as in the best interest of the entity in question and, thus, would not be approved by the Independent Party.</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Applicants represent that the use of Independent Parties has been common practice in institutional funds for many years and sophisticated investors, including global institutional investors, have relied on their presence in fund structures to ensure equitable treatment. Moreover, although a traditional board of directors would not be required to approve Co-Investment Transactions for a BDC Downstream Fund, a Board of a Regulated Fund would be required, as part of the overall duty of care that it owes to that Regulated Fund and its shareholders, to monitor the Co-investment Transaction activity of the Regulated Fund’s respective BDC Downstream Funds to ensure that no pattern of abuse was extant.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270"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Regulated Fund may participate in Pro Rata Dispositions and Pro Rata Follow-On Investments without obtaining prior approval of the Required Majority in accordance with Conditions 6(c)(i) and 8(b)(i).</w:t>
      </w:r>
    </w:p>
    <w:p>
      <w:pPr>
        <w:spacing w:after="0" w:line="310" w:lineRule="exact"/>
        <w:rPr>
          <w:sz w:val="20"/>
          <w:szCs w:val="20"/>
          <w:color w:val="auto"/>
        </w:rPr>
      </w:pP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Settlement</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Regulated Funds and Affiliated Funds participating in a Co-Investment Transaction will invest at the same time, for the same price and with the same terms, conditions, class, registration rights and any other rights, so that none of them receives terms more favorable than any other. However, the settlement date for an Affiliated Fund in a Co-Investment Transaction may occur up to ten business days after the settlement date for a Regulated Fund, and vice versa, for one of two reasons. First, this may occur when the Affiliated Fund or Regulated Fund is not yet fully funded because, when the Affiliated Fund or Regulated Fund desires to make an investment, it must call capital from its investors to obtain the financing to make the investment, and in these instances, the notice requirement to call capital could be as much as ten business days. Accordingly, if a fund has called committed capital from its investors but the investors have not yet funded the capital calls, it may need to delay settlement during the notice period. Second, delayed settlement may also occur where, for tax or regulatory reasons, an Affiliated Fund or Regulated Fund does not purchase new issuances immediately upon issuance but only after a short seasoning period of up to ten business days. Nevertheless, in all cases, (i) the date on which the commitment of the Affiliated Funds and Regulated Funds is made will be the same even where the settlement date is not and (ii) the earliest settlement date and the latest settlement date of any Affiliated Fund or Regulated Fund participating in the transaction will occur within ten business days of each other.</w:t>
      </w:r>
    </w:p>
    <w:p>
      <w:pPr>
        <w:spacing w:after="0" w:line="1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Applicants believe that an earlier or later settlement date does not create any additional risk for the Regulated Funds. As described above, the date of commitment will be the same and all other terms, including price, will be the same. Further, the investments by the Regulated Funds and the Affiliated Funds will be independent from each other, and a Regulated Fund would never take on the risk of holding more of a given security than it would prefer to hold in the event that an Affiliated Fund or another Regulated Fund did not settle as expected.</w:t>
      </w:r>
    </w:p>
    <w:p>
      <w:pPr>
        <w:spacing w:after="0" w:line="328"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Follow-On Investments and Approval of Follow-On Investments</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From time to time, the Regulated Funds, Affiliates Funds and Capital Markets Affiliates may have opportunities to make Follow-On Investments in an issuer in which a Regulated Fund and one or more other Regulated Funds, one or more Affiliated Funds and/or one or more Capital Markets Affiliates previously have invested and continue to hold an investment. If the Order is granted, Follow-On Investments will be made in a manner that is fair and equitable to all of the Regulated Funds, Affiliated Funds and Capital Markets Affiliates and in accordance with the proposed procedures discussed above and with the Conditions of the Order. The Order, if granted, would permit Affiliated Funds to participate in Follow-On Investments in issuers in which at least one Regulated Fund is invested, but such Affiliated Funds are not invested. This relief would not permit Follow-On Investments by Regulated Funds that are not invested in the issuer.</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Order would divide Follow-On Investments into two categories depending on whether the Regulated Funds and Affiliated Funds (and potentially Capital Markets Affiliates) holding investments in the issuer previously participated in a Co-Investment Transaction with respect to the issuer and continue to hold any securities acquired in a Co-Investment Transaction for that issuer. If such Regulated Funds and Affiliated Funds (and potentially Capital Markets Affiliates) have previously participated in a Co-Investment Transaction with respect to the issuer, then the terms and approval of the Follow-On Investment would be subject to the process discussed in Section III.A.3.a. below and governed by Condition 8. These Follow-On Investments are referred to as “</w:t>
      </w:r>
      <w:r>
        <w:rPr>
          <w:rFonts w:ascii="Times New Roman" w:cs="Times New Roman" w:eastAsia="Times New Roman" w:hAnsi="Times New Roman"/>
          <w:sz w:val="18"/>
          <w:szCs w:val="18"/>
          <w:b w:val="1"/>
          <w:bCs w:val="1"/>
          <w:i w:val="1"/>
          <w:iCs w:val="1"/>
          <w:color w:val="auto"/>
        </w:rPr>
        <w:t>Standard Review Follow-Ons</w:t>
      </w:r>
      <w:r>
        <w:rPr>
          <w:rFonts w:ascii="Times New Roman" w:cs="Times New Roman" w:eastAsia="Times New Roman" w:hAnsi="Times New Roman"/>
          <w:sz w:val="18"/>
          <w:szCs w:val="18"/>
          <w:color w:val="auto"/>
        </w:rPr>
        <w:t>.” If such Regulated Funds and Affiliated Funds have not previously participated in a Co-Investment Transaction with respect to the issuer, then the terms and approval of the Follow-On Investment would be subject to the “onboarding process” discussed in Section III.A.3.b. below and governed by Condition 9. These Follow-On Investments are referred to as “</w:t>
      </w:r>
      <w:r>
        <w:rPr>
          <w:rFonts w:ascii="Times New Roman" w:cs="Times New Roman" w:eastAsia="Times New Roman" w:hAnsi="Times New Roman"/>
          <w:sz w:val="18"/>
          <w:szCs w:val="18"/>
          <w:b w:val="1"/>
          <w:bCs w:val="1"/>
          <w:i w:val="1"/>
          <w:iCs w:val="1"/>
          <w:color w:val="auto"/>
        </w:rPr>
        <w:t>Enhanced Review Follow-Ons</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ind w:left="2020" w:hanging="554"/>
        <w:spacing w:after="0"/>
        <w:tabs>
          <w:tab w:leader="none" w:pos="2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Follow-Ons</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Regulated Fund may invest in Standard Review Follow-Ons either with the approval of the Required Majority using the procedures required under Condition 8(c) or, where certain additional requirements are met, without Board approval under Condition 8(b).</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270" w:right="339" w:bottom="1440" w:gutter="0" w:footer="0" w:header="0"/>
        </w:sectPr>
      </w:pPr>
    </w:p>
    <w:bookmarkStart w:id="22" w:name="page23"/>
    <w:bookmarkEnd w:id="22"/>
    <w:p>
      <w:pPr>
        <w:ind w:left="20" w:right="27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Regulated Fund may participate in a Standard Review Follow-On without obtaining the prior approval of the Required Majority if it is (i) a Pro Rata Follow-On Investment or (ii) a Non-Negotiated Follow-On Investment.</w:t>
      </w:r>
    </w:p>
    <w:p>
      <w:pPr>
        <w:spacing w:after="0" w:line="158" w:lineRule="exact"/>
        <w:rPr>
          <w:sz w:val="20"/>
          <w:szCs w:val="20"/>
          <w:color w:val="auto"/>
        </w:rPr>
      </w:pPr>
    </w:p>
    <w:p>
      <w:pPr>
        <w:ind w:left="20" w:right="39"/>
        <w:spacing w:after="0" w:line="23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Follow-On Investment</w:t>
      </w:r>
      <w:r>
        <w:rPr>
          <w:rFonts w:ascii="Times New Roman" w:cs="Times New Roman" w:eastAsia="Times New Roman" w:hAnsi="Times New Roman"/>
          <w:sz w:val="18"/>
          <w:szCs w:val="18"/>
          <w:color w:val="auto"/>
        </w:rPr>
        <w:t>” is a Follow-On Investment (i) in which the participation of each Regulated Fund, each Affiliated Fund and each Capital Markets Affiliate is proportionate to its outstanding investments in the issuer or security, as appropriate,</w:t>
      </w:r>
      <w:r>
        <w:rPr>
          <w:rFonts w:ascii="Times New Roman" w:cs="Times New Roman" w:eastAsia="Times New Roman" w:hAnsi="Times New Roman"/>
          <w:sz w:val="26"/>
          <w:szCs w:val="26"/>
          <w:color w:val="auto"/>
          <w:vertAlign w:val="superscript"/>
        </w:rPr>
        <w:t>14</w:t>
      </w:r>
      <w:r>
        <w:rPr>
          <w:rFonts w:ascii="Times New Roman" w:cs="Times New Roman" w:eastAsia="Times New Roman" w:hAnsi="Times New Roman"/>
          <w:sz w:val="18"/>
          <w:szCs w:val="18"/>
          <w:color w:val="auto"/>
        </w:rPr>
        <w:t xml:space="preserve"> immediately preceding the Follow-On Investment, and (ii) in the case of a Regulated Fund, a majority of the Board has approved the Regulated Fund’s participation in the pro rata Follow-On Investments as being in the best interests of the Regulated Fund. The Regulated Fund’s Board may refuse to approve, or at any time rescind, suspend or qualify, its approval of Pro Rata Follow-On Investments, in which case all subsequent Follow-On Investments will be submitted to the Regulated Fund’s Eligible Directors in accordance with Condition 8(c).</w:t>
      </w:r>
    </w:p>
    <w:p>
      <w:pPr>
        <w:spacing w:after="0" w:line="200" w:lineRule="exact"/>
        <w:rPr>
          <w:sz w:val="20"/>
          <w:szCs w:val="20"/>
          <w:color w:val="auto"/>
        </w:rPr>
      </w:pPr>
    </w:p>
    <w:p>
      <w:pPr>
        <w:ind w:left="20" w:right="179"/>
        <w:spacing w:after="0" w:line="26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Non-Negotiated Follow-On Investment</w:t>
      </w:r>
      <w:r>
        <w:rPr>
          <w:rFonts w:ascii="Times New Roman" w:cs="Times New Roman" w:eastAsia="Times New Roman" w:hAnsi="Times New Roman"/>
          <w:sz w:val="18"/>
          <w:szCs w:val="18"/>
          <w:color w:val="auto"/>
        </w:rPr>
        <w:t>” is a Follow-On Investment in which a Regulated Fund participates together with one or more Affiliated Funds, one or more Capital Markets Affiliates and/or one or more other Regulated Funds (i) in which the only term negotiated by or on behalf of the funds is price and (ii) with respect to which, if the transaction were considered on its own, the funds would be entitled to rely on one of the JT No-Action Letters.</w:t>
      </w:r>
    </w:p>
    <w:p>
      <w:pPr>
        <w:spacing w:after="0" w:line="180" w:lineRule="exact"/>
        <w:rPr>
          <w:sz w:val="20"/>
          <w:szCs w:val="20"/>
          <w:color w:val="auto"/>
        </w:rPr>
      </w:pPr>
    </w:p>
    <w:p>
      <w:pPr>
        <w:ind w:left="20" w:right="59"/>
        <w:spacing w:after="0" w:line="261" w:lineRule="auto"/>
        <w:rPr>
          <w:sz w:val="20"/>
          <w:szCs w:val="20"/>
          <w:color w:val="auto"/>
        </w:rPr>
      </w:pPr>
      <w:r>
        <w:rPr>
          <w:rFonts w:ascii="Times New Roman" w:cs="Times New Roman" w:eastAsia="Times New Roman" w:hAnsi="Times New Roman"/>
          <w:sz w:val="18"/>
          <w:szCs w:val="18"/>
          <w:color w:val="auto"/>
        </w:rPr>
        <w:t>Applicants believe that these Pro Rata Follow-On Investments and Non-Negotiated Follow-On Investments do not present a significant opportunity for overreaching on the part of any Adviser and thus do not warrant the time or the attention of the Board. Pro Rata Follow-On Investments and Non-Negotiated Follow-On Investments remain subject to the Board’s periodic review in accordance with Condition 10.</w:t>
      </w:r>
    </w:p>
    <w:p>
      <w:pPr>
        <w:spacing w:after="0" w:line="328" w:lineRule="exact"/>
        <w:rPr>
          <w:sz w:val="20"/>
          <w:szCs w:val="20"/>
          <w:color w:val="auto"/>
        </w:rPr>
      </w:pPr>
    </w:p>
    <w:p>
      <w:pPr>
        <w:ind w:left="1620" w:hanging="448"/>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117" w:lineRule="exact"/>
        <w:rPr>
          <w:sz w:val="20"/>
          <w:szCs w:val="20"/>
          <w:color w:val="auto"/>
        </w:rPr>
      </w:pPr>
    </w:p>
    <w:p>
      <w:pPr>
        <w:ind w:left="20" w:right="39"/>
        <w:spacing w:after="0" w:line="253" w:lineRule="auto"/>
        <w:rPr>
          <w:sz w:val="20"/>
          <w:szCs w:val="20"/>
          <w:color w:val="auto"/>
        </w:rPr>
      </w:pPr>
      <w:r>
        <w:rPr>
          <w:rFonts w:ascii="Times New Roman" w:cs="Times New Roman" w:eastAsia="Times New Roman" w:hAnsi="Times New Roman"/>
          <w:sz w:val="18"/>
          <w:szCs w:val="18"/>
          <w:color w:val="auto"/>
        </w:rPr>
        <w:t>One or more Regulated Funds, one or more Affiliated Funds and one or more Capital Markets Affiliates holding Pre-Boarding Investments may have the opportunity to make a Follow-On Investment that is a Potential Co-Investment Transaction in an issuer with respect to which they have not previously participated in a Co-Investment Transaction. In these cases, the Regulated Funds, Affiliated Funds and Capital Markets Affiliates may rely on the Order to make such Follow-On Investment subject to the requirements of Condition 9. These enhanced review requirements constitute an “onboarding process” whereby Regulated Funds, Affiliated Funds and Capital Markets Affiliates may utilize the Order to participate in Co-Investment Transactions even though they already hold Pre-Boarding Investments. For a given issuer, the participating Regulated Funds, Affiliated Funds and Capital Markets Affiliates need to comply with these requirements only for the first Co-Investment Transaction. Subsequent Co-Investment Transactions with respect to the issuer will be governed by Condition 8 under the standard review process.</w:t>
      </w:r>
    </w:p>
    <w:p>
      <w:pPr>
        <w:spacing w:after="0" w:line="343" w:lineRule="exact"/>
        <w:rPr>
          <w:sz w:val="20"/>
          <w:szCs w:val="20"/>
          <w:color w:val="auto"/>
        </w:rPr>
      </w:pPr>
    </w:p>
    <w:p>
      <w:pPr>
        <w:ind w:left="360" w:hanging="349"/>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Dispositions</w:t>
      </w:r>
    </w:p>
    <w:p>
      <w:pPr>
        <w:spacing w:after="0" w:line="117" w:lineRule="exact"/>
        <w:rPr>
          <w:sz w:val="20"/>
          <w:szCs w:val="20"/>
          <w:color w:val="auto"/>
        </w:rPr>
      </w:pPr>
    </w:p>
    <w:p>
      <w:pPr>
        <w:ind w:left="20" w:right="59"/>
        <w:spacing w:after="0" w:line="258" w:lineRule="auto"/>
        <w:rPr>
          <w:sz w:val="20"/>
          <w:szCs w:val="20"/>
          <w:color w:val="auto"/>
        </w:rPr>
      </w:pPr>
      <w:r>
        <w:rPr>
          <w:rFonts w:ascii="Times New Roman" w:cs="Times New Roman" w:eastAsia="Times New Roman" w:hAnsi="Times New Roman"/>
          <w:sz w:val="18"/>
          <w:szCs w:val="18"/>
          <w:color w:val="auto"/>
        </w:rPr>
        <w:t>The Regulated Funds, Affiliated Funds and Capital Markets Affiliates may be presented with opportunities to sell, exchange or otherwise dispose of securities in a transaction that would be prohibited by Rule 17d-1 or Section 57(a)(4), as applicable. If the Order is granted, such Dispositions will be made in a manner that is fair and equitable to all of the Regulated Funds, Affiliated Funds and Capital Markets Affiliates and in accordance with procedures set forth in the proposed Conditions to the Order, as discussed below.</w:t>
      </w:r>
    </w:p>
    <w:p>
      <w:pPr>
        <w:spacing w:after="0" w:line="183" w:lineRule="exact"/>
        <w:rPr>
          <w:sz w:val="20"/>
          <w:szCs w:val="20"/>
          <w:color w:val="auto"/>
        </w:rPr>
      </w:pPr>
    </w:p>
    <w:p>
      <w:pPr>
        <w:ind w:left="20" w:right="19"/>
        <w:spacing w:after="0" w:line="254" w:lineRule="auto"/>
        <w:rPr>
          <w:sz w:val="20"/>
          <w:szCs w:val="20"/>
          <w:color w:val="auto"/>
        </w:rPr>
      </w:pPr>
      <w:r>
        <w:rPr>
          <w:rFonts w:ascii="Times New Roman" w:cs="Times New Roman" w:eastAsia="Times New Roman" w:hAnsi="Times New Roman"/>
          <w:sz w:val="18"/>
          <w:szCs w:val="18"/>
          <w:color w:val="auto"/>
        </w:rPr>
        <w:t>The Order would divide these Dispositions into two categories: (i) if the Regulated Funds and Affiliated Funds (and potentially Capital Markets Affiliates) holding investments in the issuer have previously participated in a Co-Investment Transaction with respect to the issuer and continue to hold any securities acquired in a Co-Investment Transaction for such issuer, then the terms and approval of the Disposition (hereinafter referred to as “</w:t>
      </w:r>
      <w:r>
        <w:rPr>
          <w:rFonts w:ascii="Times New Roman" w:cs="Times New Roman" w:eastAsia="Times New Roman" w:hAnsi="Times New Roman"/>
          <w:sz w:val="18"/>
          <w:szCs w:val="18"/>
          <w:b w:val="1"/>
          <w:bCs w:val="1"/>
          <w:i w:val="1"/>
          <w:iCs w:val="1"/>
          <w:color w:val="auto"/>
        </w:rPr>
        <w:t>Standard Review Dispositions</w:t>
      </w:r>
      <w:r>
        <w:rPr>
          <w:rFonts w:ascii="Times New Roman" w:cs="Times New Roman" w:eastAsia="Times New Roman" w:hAnsi="Times New Roman"/>
          <w:sz w:val="18"/>
          <w:szCs w:val="18"/>
          <w:color w:val="auto"/>
        </w:rPr>
        <w:t>”) would be subject to the process discussed in Section III.A.4.a. below and governed by Condition 6; and (ii) if the Regulated Funds and Affiliated Funds have not previously participated in a Co-Investment Transaction with respect to the issuer, then the terms and approval of the Disposition (hereinafter referred to as “</w:t>
      </w:r>
      <w:r>
        <w:rPr>
          <w:rFonts w:ascii="Times New Roman" w:cs="Times New Roman" w:eastAsia="Times New Roman" w:hAnsi="Times New Roman"/>
          <w:sz w:val="18"/>
          <w:szCs w:val="18"/>
          <w:b w:val="1"/>
          <w:bCs w:val="1"/>
          <w:i w:val="1"/>
          <w:iCs w:val="1"/>
          <w:color w:val="auto"/>
        </w:rPr>
        <w:t>Enhanced Review Dispositions</w:t>
      </w:r>
      <w:r>
        <w:rPr>
          <w:rFonts w:ascii="Times New Roman" w:cs="Times New Roman" w:eastAsia="Times New Roman" w:hAnsi="Times New Roman"/>
          <w:sz w:val="18"/>
          <w:szCs w:val="18"/>
          <w:color w:val="auto"/>
        </w:rPr>
        <w:t>”) would be subject to the same “onboarding process” discussed in Section III.A.3.b. above and governed by Condition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6254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84" w:lineRule="exact"/>
        <w:rPr>
          <w:sz w:val="20"/>
          <w:szCs w:val="20"/>
          <w:color w:val="auto"/>
        </w:rPr>
      </w:pPr>
    </w:p>
    <w:p>
      <w:pPr>
        <w:ind w:left="360" w:hanging="349"/>
        <w:spacing w:after="0"/>
        <w:tabs>
          <w:tab w:leader="none" w:pos="36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note 30, below.</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019"/>
          </w:cols>
          <w:pgMar w:left="1440" w:top="270" w:right="1440" w:bottom="1440" w:gutter="0" w:footer="0" w:header="0"/>
        </w:sectPr>
      </w:pPr>
    </w:p>
    <w:bookmarkStart w:id="23" w:name="page24"/>
    <w:bookmarkEnd w:id="23"/>
    <w:p>
      <w:pPr>
        <w:ind w:left="1620" w:hanging="448"/>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Review Dispositions</w:t>
      </w:r>
    </w:p>
    <w:p>
      <w:pPr>
        <w:spacing w:after="0" w:line="117" w:lineRule="exact"/>
        <w:rPr>
          <w:sz w:val="20"/>
          <w:szCs w:val="20"/>
          <w:color w:val="auto"/>
        </w:rPr>
      </w:pPr>
    </w:p>
    <w:p>
      <w:pPr>
        <w:ind w:left="20" w:right="39"/>
        <w:spacing w:after="0" w:line="266" w:lineRule="auto"/>
        <w:rPr>
          <w:sz w:val="20"/>
          <w:szCs w:val="20"/>
          <w:color w:val="auto"/>
        </w:rPr>
      </w:pPr>
      <w:r>
        <w:rPr>
          <w:rFonts w:ascii="Times New Roman" w:cs="Times New Roman" w:eastAsia="Times New Roman" w:hAnsi="Times New Roman"/>
          <w:sz w:val="18"/>
          <w:szCs w:val="18"/>
          <w:color w:val="auto"/>
        </w:rPr>
        <w:t>A Regulated Fund may participate in a Standard Review Disposition either with the approval of the Required Majority using the standard procedures required under Condition 6(d) or, where certain additional requirements are met, without Board approval under Condition 6(c).</w:t>
      </w:r>
    </w:p>
    <w:p>
      <w:pPr>
        <w:spacing w:after="0" w:line="176" w:lineRule="exact"/>
        <w:rPr>
          <w:sz w:val="20"/>
          <w:szCs w:val="20"/>
          <w:color w:val="auto"/>
        </w:rPr>
      </w:pPr>
    </w:p>
    <w:p>
      <w:pPr>
        <w:ind w:left="20" w:right="239"/>
        <w:spacing w:after="0" w:line="266" w:lineRule="auto"/>
        <w:rPr>
          <w:sz w:val="20"/>
          <w:szCs w:val="20"/>
          <w:color w:val="auto"/>
        </w:rPr>
      </w:pPr>
      <w:r>
        <w:rPr>
          <w:rFonts w:ascii="Times New Roman" w:cs="Times New Roman" w:eastAsia="Times New Roman" w:hAnsi="Times New Roman"/>
          <w:sz w:val="18"/>
          <w:szCs w:val="18"/>
          <w:color w:val="auto"/>
        </w:rPr>
        <w:t>A Regulated Fund may participate in a Standard Review Disposition without obtaining the prior approval of the Required Majority if (i) the Disposition is a Pro Rata Disposition or (ii) the securities are Tradable Securities and the Disposition meets the other requirements of Condition 6(c)(ii).</w:t>
      </w:r>
    </w:p>
    <w:p>
      <w:pPr>
        <w:spacing w:after="0" w:line="172" w:lineRule="exact"/>
        <w:rPr>
          <w:sz w:val="20"/>
          <w:szCs w:val="20"/>
          <w:color w:val="auto"/>
        </w:rPr>
      </w:pPr>
    </w:p>
    <w:p>
      <w:pPr>
        <w:ind w:left="20" w:right="119"/>
        <w:spacing w:after="0" w:line="23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Pro Rata Disposition</w:t>
      </w:r>
      <w:r>
        <w:rPr>
          <w:rFonts w:ascii="Times New Roman" w:cs="Times New Roman" w:eastAsia="Times New Roman" w:hAnsi="Times New Roman"/>
          <w:sz w:val="18"/>
          <w:szCs w:val="18"/>
          <w:color w:val="auto"/>
        </w:rPr>
        <w:t>” is a Disposition (i) in which the participation of each Regulated Fund, each Affiliated Fund and each Capital Markets Affiliate is proportionate to its outstanding investment in the security subject to Disposition immediately preceding the Disposition;</w:t>
      </w:r>
      <w:r>
        <w:rPr>
          <w:rFonts w:ascii="Times New Roman" w:cs="Times New Roman" w:eastAsia="Times New Roman" w:hAnsi="Times New Roman"/>
          <w:sz w:val="26"/>
          <w:szCs w:val="26"/>
          <w:color w:val="auto"/>
          <w:vertAlign w:val="superscript"/>
        </w:rPr>
        <w:t>15</w:t>
      </w:r>
      <w:r>
        <w:rPr>
          <w:rFonts w:ascii="Times New Roman" w:cs="Times New Roman" w:eastAsia="Times New Roman" w:hAnsi="Times New Roman"/>
          <w:sz w:val="18"/>
          <w:szCs w:val="18"/>
          <w:color w:val="auto"/>
        </w:rPr>
        <w:t xml:space="preserve"> and (ii) in the case of a Regulated Fund, a majority of the Board has approved the Regulated Fund’s participation in pro rata Dispositions as being in the best interests of the Regulated Fund. The Regulated Fund’s Board may refuse to approve, or at any time rescind, suspend or qualify, their approval of Pro Rata Dispositions, in which case all subsequent Dispositions will be submitted to the Regulated Fund’s Eligible Directors.</w:t>
      </w:r>
    </w:p>
    <w:p>
      <w:pPr>
        <w:spacing w:after="0" w:line="199" w:lineRule="exact"/>
        <w:rPr>
          <w:sz w:val="20"/>
          <w:szCs w:val="20"/>
          <w:color w:val="auto"/>
        </w:rPr>
      </w:pPr>
    </w:p>
    <w:p>
      <w:pPr>
        <w:ind w:left="20" w:right="59"/>
        <w:spacing w:after="0" w:line="233" w:lineRule="auto"/>
        <w:rPr>
          <w:sz w:val="20"/>
          <w:szCs w:val="20"/>
          <w:color w:val="auto"/>
        </w:rPr>
      </w:pPr>
      <w:r>
        <w:rPr>
          <w:rFonts w:ascii="Times New Roman" w:cs="Times New Roman" w:eastAsia="Times New Roman" w:hAnsi="Times New Roman"/>
          <w:sz w:val="18"/>
          <w:szCs w:val="18"/>
          <w:color w:val="auto"/>
        </w:rPr>
        <w:t>In the case of a Tradable Security, approval of the required majority is not required for the Disposition if: (x) the Disposition is not to the issuer or any affiliated person of the issuer;</w:t>
      </w:r>
      <w:r>
        <w:rPr>
          <w:rFonts w:ascii="Times New Roman" w:cs="Times New Roman" w:eastAsia="Times New Roman" w:hAnsi="Times New Roman"/>
          <w:sz w:val="26"/>
          <w:szCs w:val="26"/>
          <w:color w:val="auto"/>
          <w:vertAlign w:val="superscript"/>
        </w:rPr>
        <w:t>16</w:t>
      </w:r>
      <w:r>
        <w:rPr>
          <w:rFonts w:ascii="Times New Roman" w:cs="Times New Roman" w:eastAsia="Times New Roman" w:hAnsi="Times New Roman"/>
          <w:sz w:val="18"/>
          <w:szCs w:val="18"/>
          <w:color w:val="auto"/>
        </w:rPr>
        <w:t xml:space="preserve"> and (y) the security is sold for cash in a transaction in which the only term negotiated by or on behalf of the participating Regulated Funds, Affiliated Funds and Capital Markets Affiliates is price. Pro Rata Dispositions and Dispositions of a Tradable Security remain subject to the Board’s periodic review in accordance with Condition 10.</w:t>
      </w:r>
    </w:p>
    <w:p>
      <w:pPr>
        <w:spacing w:after="0" w:line="350" w:lineRule="exact"/>
        <w:rPr>
          <w:sz w:val="20"/>
          <w:szCs w:val="20"/>
          <w:color w:val="auto"/>
        </w:rPr>
      </w:pPr>
    </w:p>
    <w:p>
      <w:pPr>
        <w:ind w:left="1620" w:hanging="448"/>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p>
    <w:p>
      <w:pPr>
        <w:spacing w:after="0" w:line="117" w:lineRule="exact"/>
        <w:rPr>
          <w:sz w:val="20"/>
          <w:szCs w:val="20"/>
          <w:color w:val="auto"/>
        </w:rPr>
      </w:pPr>
    </w:p>
    <w:p>
      <w:pPr>
        <w:ind w:left="20" w:right="119"/>
        <w:spacing w:after="0" w:line="241" w:lineRule="auto"/>
        <w:rPr>
          <w:sz w:val="20"/>
          <w:szCs w:val="20"/>
          <w:color w:val="auto"/>
        </w:rPr>
      </w:pPr>
      <w:r>
        <w:rPr>
          <w:rFonts w:ascii="Times New Roman" w:cs="Times New Roman" w:eastAsia="Times New Roman" w:hAnsi="Times New Roman"/>
          <w:sz w:val="18"/>
          <w:szCs w:val="18"/>
          <w:color w:val="auto"/>
        </w:rPr>
        <w:t>One or more Regulated Funds, one or more Affiliated Funds and/or one or more Capital Markets Affiliates that have not previously participated in a Co-Investment Transaction with respect to an issuer may have the opportunity to make a Disposition of Pre-Boarding Investments in a Potential Co-Investment Transaction. In these cases, the Regulated Funds, Affiliated Funds and Capital Markets Affiliates may rely on the Order to make such Disposition subject to the requirements of Condition 7. As discussed above, with respect to investment in a given issuer, the participating Regulated Funds, Affiliated Funds and Capital Markets Affiliates need only complete the onboarding process for the first Co-Investment Transaction, which may be an Enhanced Review Follow-On or an Enhanced Review Disposition.</w:t>
      </w:r>
      <w:r>
        <w:rPr>
          <w:rFonts w:ascii="Times New Roman" w:cs="Times New Roman" w:eastAsia="Times New Roman" w:hAnsi="Times New Roman"/>
          <w:sz w:val="26"/>
          <w:szCs w:val="26"/>
          <w:color w:val="auto"/>
          <w:vertAlign w:val="superscript"/>
        </w:rPr>
        <w:t>17</w:t>
      </w:r>
      <w:r>
        <w:rPr>
          <w:rFonts w:ascii="Times New Roman" w:cs="Times New Roman" w:eastAsia="Times New Roman" w:hAnsi="Times New Roman"/>
          <w:sz w:val="18"/>
          <w:szCs w:val="18"/>
          <w:color w:val="auto"/>
        </w:rPr>
        <w:t xml:space="preserve"> Subsequent Co-Investment Transactions with respect to the issuer will be governed by Condition 6 or 8 under the standard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25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74" w:lineRule="exact"/>
        <w:rPr>
          <w:sz w:val="20"/>
          <w:szCs w:val="20"/>
          <w:color w:val="auto"/>
        </w:rPr>
      </w:pPr>
    </w:p>
    <w:p>
      <w:pPr>
        <w:ind w:left="360" w:hanging="349"/>
        <w:spacing w:after="0"/>
        <w:tabs>
          <w:tab w:leader="none" w:pos="360"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note 28, below.</w:t>
      </w:r>
    </w:p>
    <w:p>
      <w:pPr>
        <w:spacing w:after="0" w:line="1" w:lineRule="exact"/>
        <w:rPr>
          <w:rFonts w:ascii="Times New Roman" w:cs="Times New Roman" w:eastAsia="Times New Roman" w:hAnsi="Times New Roman"/>
          <w:sz w:val="27"/>
          <w:szCs w:val="27"/>
          <w:color w:val="auto"/>
          <w:vertAlign w:val="superscript"/>
        </w:rPr>
      </w:pPr>
    </w:p>
    <w:p>
      <w:pPr>
        <w:ind w:left="360" w:right="139" w:hanging="349"/>
        <w:spacing w:after="0" w:line="222" w:lineRule="auto"/>
        <w:tabs>
          <w:tab w:leader="none" w:pos="360"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a Tradable Security, Dispositions to the issuer or an affiliated person of the issuer are not permitted so that funds participating in the Disposition do not benefit to the detriment of Regulated Funds that remain invested in the issuer. For example, if a Disposition of a Tradable Security were permitted to be made to the issuer, the issuer may be reducing its short term assets (i.e., cash) to pay down long term liabilities.</w:t>
      </w:r>
    </w:p>
    <w:p>
      <w:pPr>
        <w:ind w:left="360" w:right="79" w:hanging="349"/>
        <w:spacing w:after="0" w:line="235" w:lineRule="auto"/>
        <w:tabs>
          <w:tab w:leader="none" w:pos="360" w:val="left"/>
        </w:tabs>
        <w:numPr>
          <w:ilvl w:val="0"/>
          <w:numId w:val="5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However, with respect to an issuer, if a Regulated Fund’s first Co-Investment Transaction is an Enhanced Review Disposition, and the Regulated Fund does not dispose of its entire position in the Enhanced Review Disposition, then before such Regulated Fund may complete its first Standard Review Follow-On in such issuer, the Eligible Directors must review the proposed Follow-On Investment not only on a stand-alone basis but also in relation to the total economic exposure in such issuer (i.e., in combination with the portion of the Pre-Boarding Investment not disposed of in the Enhanced Review Disposition), and the other terms of the investments. This additional review is required because such findings were not required in connection with the prior Enhanced Review Disposition, but they would have been required had the first Co-Investment Transaction been an Enhanced Review Follow-On.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019"/>
          </w:cols>
          <w:pgMar w:left="1440" w:top="270" w:right="1440" w:bottom="1440" w:gutter="0" w:footer="0" w:header="0"/>
        </w:sectPr>
      </w:pPr>
    </w:p>
    <w:bookmarkStart w:id="24" w:name="page25"/>
    <w:bookmarkEnd w:id="24"/>
    <w:p>
      <w:pPr>
        <w:ind w:left="460" w:hanging="452"/>
        <w:spacing w:after="0"/>
        <w:tabs>
          <w:tab w:leader="none" w:pos="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Wholly-Owned Investment Subs</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 Existing Regulated Fund or a Future Regulated Fund may, from time to time, form one or more Wholly-Owned Investment Subs. Such a subsidiary may be prohibited from investing in a Co-Investment Transaction with a Regulated Fund (other than its parent) or any Affiliated Fund or Capital Markets Affiliate because it would be a company controlled by its parent Regulated Fund for purposes of Section 57(a)(4) and Rule 17d-1. Applicants request that each Wholly-Owned Investment Sub be permitted to participate in Co-Investment Transactions in lieu of the Regulated Fund that owns it and that the Wholly-Owned Investment Sub’s participation in any such transaction be treated, for purposes of the Order, as though the parent Regulated Fund were participating directly.</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Applicants represent that this treatment is justified because a Wholly-Owned Investment Sub would have no purpose other than serving as a holding vehicle for the Regulated Fund’s investments and issuing debt on behalf or in lieu of the Regulated Fund (and, in the case of an SBIC Subsidiary, maintaining a license under the SBA Act and issue debentures guaranteed by the SBA) and, therefore, no conflicts of interest could arise between the parent Regulated Fund and the Wholly-Owned Investment Sub. The Board of the parent Regulated Fund would make all relevant determinations under the Conditions with regard to a Wholly-Owned Investment Sub’s participation in a Co-Investment Transaction, and the Board would be informed of, and take into consideration, any proposed use of a Wholly-Owned Investment Sub in the Regulated Fund’s place. If the parent Regulated Fund proposes to participate in the same Co-Investment Transaction with any of its Wholly-Owned Investment Subs, the Board of the parent Regulated Fund will also be informed of, and take into consideration, the relative participation of the Regulated Fund and the Wholly-Owned Investment Sub.</w:t>
      </w:r>
    </w:p>
    <w:p>
      <w:pPr>
        <w:spacing w:after="0" w:line="19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Applicants note that an entity could not be both a Wholly-Owned Investment Sub and a BDC Downstream Fund because, in the former case, the Board of the parent Regulated Fund makes any determinations regarding the subsidiary’s investments while, in the latter case, the Independent Party makes such determinations.</w:t>
      </w:r>
    </w:p>
    <w:p>
      <w:pPr>
        <w:spacing w:after="0" w:line="324" w:lineRule="exact"/>
        <w:rPr>
          <w:sz w:val="20"/>
          <w:szCs w:val="20"/>
          <w:color w:val="auto"/>
        </w:rPr>
      </w:pPr>
    </w:p>
    <w:p>
      <w:pPr>
        <w:ind w:left="460" w:hanging="452"/>
        <w:spacing w:after="0"/>
        <w:tabs>
          <w:tab w:leader="none" w:pos="4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p>
    <w:p>
      <w:pPr>
        <w:spacing w:after="0" w:line="131"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17(d) and Section 57(a)(4)</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17(d) of the Act generally prohibits an affiliated person (as defined in Section 2(a)(3) of the Act), or an affiliated person of such affiliated person, of a registered investment company acting as principal, from effecting any transaction in which the registered investment company is a joint or a joint and several participant, in contravention of such rules as the Commission may prescribe for the purpose of limiting or preventing participation by the registered investment company on a basis different from or less advantageous than that of such other participant.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Similarly, with regard to BDCs, Section 57(a)(4) prohibits certain persons specified in Section 57(b) from participating in a joint transaction with the BDC, or a company controlled by the BDC, in contravention of rules as prescribed by the Commission. In particular, Section 57(a)(4) applies to:</w:t>
      </w:r>
    </w:p>
    <w:p>
      <w:pPr>
        <w:spacing w:after="0" w:line="67" w:lineRule="exact"/>
        <w:rPr>
          <w:sz w:val="20"/>
          <w:szCs w:val="20"/>
          <w:color w:val="auto"/>
        </w:rPr>
      </w:pPr>
    </w:p>
    <w:p>
      <w:pPr>
        <w:ind w:left="1000" w:right="360" w:hanging="439"/>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officer, employee, or member of an advisory board of a BDC or any person (other than the BDC itself) who is an affiliated person of the forgoing pursuant to Section 2(a)(3)(C); or</w:t>
      </w:r>
    </w:p>
    <w:p>
      <w:pPr>
        <w:spacing w:after="0" w:line="67" w:lineRule="exact"/>
        <w:rPr>
          <w:rFonts w:ascii="Times New Roman" w:cs="Times New Roman" w:eastAsia="Times New Roman" w:hAnsi="Times New Roman"/>
          <w:sz w:val="18"/>
          <w:szCs w:val="18"/>
          <w:color w:val="auto"/>
        </w:rPr>
      </w:pPr>
    </w:p>
    <w:p>
      <w:pPr>
        <w:ind w:left="1000" w:right="540" w:hanging="439"/>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adviser or promoter of, general partner in, principal underwriter for, or person directly or indirectly either controlling, controlled by, or under common control with, a BDC (except the BDC itself and any person who, if it were not directly or indirectly controlled by the BDC, would not be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80"/>
          </w:cols>
          <w:pgMar w:left="320" w:top="270" w:right="399" w:bottom="1440" w:gutter="0" w:footer="0" w:header="0"/>
        </w:sectPr>
      </w:pPr>
    </w:p>
    <w:bookmarkStart w:id="25" w:name="page26"/>
    <w:bookmarkEnd w:id="25"/>
    <w:p>
      <w:pPr>
        <w:ind w:left="1000" w:right="140"/>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directly or indirectly under the control of a person who controls the BDC);</w:t>
      </w:r>
      <w:r>
        <w:rPr>
          <w:rFonts w:ascii="Times New Roman" w:cs="Times New Roman" w:eastAsia="Times New Roman" w:hAnsi="Times New Roman"/>
          <w:sz w:val="26"/>
          <w:szCs w:val="26"/>
          <w:color w:val="auto"/>
          <w:vertAlign w:val="superscript"/>
        </w:rPr>
        <w:t>18</w:t>
      </w:r>
      <w:r>
        <w:rPr>
          <w:rFonts w:ascii="Times New Roman" w:cs="Times New Roman" w:eastAsia="Times New Roman" w:hAnsi="Times New Roman"/>
          <w:sz w:val="18"/>
          <w:szCs w:val="18"/>
          <w:color w:val="auto"/>
        </w:rPr>
        <w:t xml:space="preserve"> or any person who is an affiliated person of any of the forgoing within the meaning of Section 2(a)(3)(C) or (D).</w:t>
      </w:r>
    </w:p>
    <w:p>
      <w:pPr>
        <w:spacing w:after="0" w:line="19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the foregoing application of Section 57(a)(4), BDC Downstream Funds, on the one hand, and other Regulated Funds, Affiliated Funds and Capital Markets Affiliates, on the other hand, may not co-invest absent an exemptive order because the BDC Downstream Funds are controlled by a BDC and the Affiliated Funds, Capital Markets Affiliates and other Regulated Funds are included in Section 57(b).</w:t>
      </w:r>
    </w:p>
    <w:p>
      <w:pPr>
        <w:spacing w:after="0" w:line="17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Section 2(a)(3)(C) defines an “affiliated person” of another person to include any person directly or indirectly controlling, controlled by, or under common control with, such other person. Section 2(a)(3)(D) defines “any officer, director, partner, copartner, or employee” of an affiliated person as an affiliated person. Section 2(a)(9) defines “control” as the power to exercise a controlling influence over the management or policies of a company, unless such power is solely the result of an official position with that company. Under Section 2(a)(9), a person who beneficially owns, either directly or through one or more controlled companies, more than 25% of the voting securities of a company is presumed to control such company. The Commission and its staff have indicated on a number of occasions their belief that an investment adviser that provides discretionary investment management services to a fund and that sponsored, selected the initial directors, and provides administrative or other non-advisory services to the fund, controls such fund, absent compelling evidence to the contrary.</w:t>
      </w:r>
      <w:r>
        <w:rPr>
          <w:rFonts w:ascii="Times New Roman" w:cs="Times New Roman" w:eastAsia="Times New Roman" w:hAnsi="Times New Roman"/>
          <w:sz w:val="26"/>
          <w:szCs w:val="26"/>
          <w:color w:val="auto"/>
          <w:vertAlign w:val="superscript"/>
        </w:rPr>
        <w:t>19</w:t>
      </w:r>
    </w:p>
    <w:p>
      <w:pPr>
        <w:spacing w:after="0" w:line="206"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17d-1</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Rule 17d-1 generally prohibits an affiliated person (as defined in Section 2(a)(3)), or an affiliated person of such affiliated person, of a registered investment company acting as principal, from effecting any transaction in which the registered investment company, or a company controlled by such registered company, is a joint or a joint and several participant, in contravention of such rules as the Commission may prescribe for the purpose of limiting or preventing participation by the registered investment company on a basis different from or less advantageous than that of such first or second tier affiliate. Rule 17d-1 generally prohibits participation by a registered investment company and an affiliated person (as defined in Section 2(a)(3))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Rule 17d-1 was promulgated by the Commission pursuant to Section 17(d) and made applicable to persons subject to Sections 57(a) and (d) by Section 57(i) to the extent specified therein. Section 57(i) provides that, until the Commission prescribes rules under Sections 57(a) and (d), the Commission’s rules under Section 17(d) applicable to registered closed-end investment companies will be deemed to apply to persons subject to the prohibitions of Section 57(a) or (d). Because the Commission has not adopted any rules under Section 57(a) or (d), Rule 17d-1 applies to persons subject to the prohibitions of Section 57(a) or (d).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Applicants seek relief pursuant to Rule 17d-1, which permits the Commission to authorize joint transactions upon application. In passing upon applications filed pursuant to Rule 17d-1, the Commission is directed by Rule 17d-1(b) to consider whether the participation of a registered investment company or controlled company thereof in the joint enterprise or joint arrangement under scrutiny is consistent with provisions, policies and purposes of the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88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3" w:lineRule="exact"/>
        <w:rPr>
          <w:sz w:val="20"/>
          <w:szCs w:val="20"/>
          <w:color w:val="auto"/>
        </w:rPr>
      </w:pPr>
    </w:p>
    <w:p>
      <w:pPr>
        <w:ind w:left="460" w:right="280" w:hanging="452"/>
        <w:spacing w:after="0" w:line="220" w:lineRule="auto"/>
        <w:tabs>
          <w:tab w:leader="none" w:pos="460"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Also excluded from this category by Rule 57b-1 is any person who would otherwise be included (a) solely because that person is directly or indirectly controlled by a business development company, or (b) solely because that person is, within the meaning of Section 2(a)(3)(C) or (D), an affiliated person of a person described in (a) above.</w:t>
      </w:r>
    </w:p>
    <w:p>
      <w:pPr>
        <w:spacing w:after="0" w:line="2" w:lineRule="exact"/>
        <w:rPr>
          <w:rFonts w:ascii="Times New Roman" w:cs="Times New Roman" w:eastAsia="Times New Roman" w:hAnsi="Times New Roman"/>
          <w:sz w:val="27"/>
          <w:szCs w:val="27"/>
          <w:color w:val="auto"/>
          <w:vertAlign w:val="superscript"/>
        </w:rPr>
      </w:pPr>
    </w:p>
    <w:p>
      <w:pPr>
        <w:ind w:left="460" w:right="20" w:hanging="452"/>
        <w:spacing w:after="0" w:line="231" w:lineRule="auto"/>
        <w:tabs>
          <w:tab w:leader="none" w:pos="460" w:val="left"/>
        </w:tabs>
        <w:numPr>
          <w:ilvl w:val="0"/>
          <w:numId w:val="5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SEC Rel. No. IC-4697 (Sept. 8, 1966) (“For purposes of Section 2(a)(3)(C), affiliation based upon control would depend on the facts of the given situation, including such factors as extensive interlocks of officers, directors or key personnel, common investment advisers or underwriters, etc.”); Lazard Freres Asset Management, SEC No-Action Letter (pub. avail. Jan. 10, 1997) (“While, in some circumstances, the nature of an advisory relationship may give an adviser control over its client’s management or policies, whether an investment company and another entity are under common control is a factual question…”). Depending on the nature of an Adviser’s sub-advisory role with an Affiliated Fund, it could be deemed to control such Affiliated Fund, which would necessitate the requested relief.</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270" w:right="339" w:bottom="1440" w:gutter="0" w:footer="0" w:header="0"/>
        </w:sectPr>
      </w:pPr>
    </w:p>
    <w:bookmarkStart w:id="26" w:name="page27"/>
    <w:bookmarkEnd w:id="26"/>
    <w:p>
      <w:pPr>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Commission has stated that Section 17(d), upon which Rule 17d-1 is based, and upon which Section 57(a)(4) was modeled, was designed to protect investment companies from self-dealing and overreaching by insiders. The Commission has also taken notice that there may be transactions subject to these prohibitions that do not present the dangers of overreaching.</w:t>
      </w:r>
      <w:r>
        <w:rPr>
          <w:rFonts w:ascii="Times New Roman" w:cs="Times New Roman" w:eastAsia="Times New Roman" w:hAnsi="Times New Roman"/>
          <w:sz w:val="26"/>
          <w:szCs w:val="26"/>
          <w:color w:val="auto"/>
          <w:vertAlign w:val="superscript"/>
        </w:rPr>
        <w:t>20</w:t>
      </w:r>
      <w:r>
        <w:rPr>
          <w:rFonts w:ascii="Times New Roman" w:cs="Times New Roman" w:eastAsia="Times New Roman" w:hAnsi="Times New Roman"/>
          <w:sz w:val="18"/>
          <w:szCs w:val="18"/>
          <w:color w:val="auto"/>
        </w:rPr>
        <w:t xml:space="preserve"> The Court of Appeals for the Second Circuit has enunciated a like rationale for the purpose behind Section 17(d): “The objective of [Section] 17(d)…is to prevent…injuring the interest of stockholders of registered investment companies by causing the company to participate on a basis different from or less advantageous than that of such other participants.”</w:t>
      </w:r>
      <w:r>
        <w:rPr>
          <w:rFonts w:ascii="Times New Roman" w:cs="Times New Roman" w:eastAsia="Times New Roman" w:hAnsi="Times New Roman"/>
          <w:sz w:val="26"/>
          <w:szCs w:val="26"/>
          <w:color w:val="auto"/>
          <w:vertAlign w:val="superscript"/>
        </w:rPr>
        <w:t>21</w:t>
      </w:r>
      <w:r>
        <w:rPr>
          <w:rFonts w:ascii="Times New Roman" w:cs="Times New Roman" w:eastAsia="Times New Roman" w:hAnsi="Times New Roman"/>
          <w:sz w:val="18"/>
          <w:szCs w:val="18"/>
          <w:color w:val="auto"/>
        </w:rPr>
        <w:t xml:space="preserve"> Furthermore, Congress acknowledged that the protective system established by the enactment of Section 57 is “similar to that applicable to registered investment companies under Section 17, and rules thereunder, but is modified to address concerns relating to unique characteristics presented by business development companies.”</w:t>
      </w:r>
      <w:r>
        <w:rPr>
          <w:rFonts w:ascii="Times New Roman" w:cs="Times New Roman" w:eastAsia="Times New Roman" w:hAnsi="Times New Roman"/>
          <w:sz w:val="26"/>
          <w:szCs w:val="26"/>
          <w:color w:val="auto"/>
          <w:vertAlign w:val="superscript"/>
        </w:rPr>
        <w:t>22</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Applicants believe that the Conditions would ensure that the conflicts of interest that Section 17(d) and Section 57(a)(4) were designed to prevent would be addressed and the standards for an order under Rule 17d-1 and Section 57(i) would be met.</w:t>
      </w:r>
    </w:p>
    <w:p>
      <w:pPr>
        <w:spacing w:after="0" w:line="310"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Need for Relief</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Co-Investment Transactions are prohibited by either or both of Rule 17d-1 and Section 57(a)(4) without a prior exemptive order of the Commission to the extent that the Affiliated Funds, Capital Markets Affiliates and the Regulated Funds participating in such transactions fall within the category of persons described by Rule 17d-1 and/or Section 57(b), as modified by Rule 57b-1 thereunder, as applicable, vis-à-vis each participating Regulated Fund.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CGCIM controls BDC I, BDC II, BDC III and CTAC, and the European Manager and Carlyle CLO Manager are, and any other Advisers will be, controlling, controlled by or under common control with CGCIM. Thus, the Advisers and the entities that they advise may be deemed to be a person related to a Regulated Fund in a manner described by Section 57(b) (or Section 17(d) in the case of Regulated Funds that are registered under the Act) and therefore would be prohibited by Section 57(a)(4) (or Section 17(d) in the case of Regulated Funds that are registered under the Act) and Rule 17d-1 from participating in Co-Investment Transactions without the Order.</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Further, because the BDC Downstream Funds and Wholly-Owned Investment Subs are controlled by the Regulated Funds, the BDC Downstream Funds and Wholly-Owned Investment Subs are subject to Section 57(a)(4) (or Section 17(d) in the case of Wholly-Owned Investment Subs controlled by Regulated Funds that are registered under the Act), and thus also subject to the provisions of Rule 17d-1, and therefore would be prohibited from participating in Co-Investment Transactions without the Order.</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Finally, any Capital Markets Affiliate, as wholly- or majority-owned subsidiaries of Carlyle, will be controlling, controlled by or under common control with CGCIM. In addition, the Carlyle Proprietary Accounts are also entities advised by Advisers, which are or will be controlling, controlled by or under common control with CGCIM. Thus, the Capital Markets Affiliates may be deemed to be a person related to a Regulated Fund in a manner described by Section 57(b) (or Section 17(d) in the case of Regulated Funds that are registered under the Act) and therefore would be prohibited by Section 57(a)(4) (or Section 17(d) in the case of Regulated Funds that are registered under the Act) and Rule 17d-1 from participating in Co-Investment Transactions without the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886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64"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u w:val="single" w:color="auto"/>
          <w:color w:val="auto"/>
        </w:rPr>
        <w:t>See Protecting Investors: A Half-Century of Investment Company Regulation</w:t>
      </w:r>
      <w:r>
        <w:rPr>
          <w:rFonts w:ascii="Times New Roman" w:cs="Times New Roman" w:eastAsia="Times New Roman" w:hAnsi="Times New Roman"/>
          <w:sz w:val="18"/>
          <w:szCs w:val="18"/>
          <w:color w:val="auto"/>
        </w:rPr>
        <w:t xml:space="preserve">, 1504 Fed. Sec. L. Rep., Extra Edition (May 29, 1992) at 488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27"/>
          <w:szCs w:val="27"/>
          <w:color w:val="auto"/>
          <w:vertAlign w:val="superscript"/>
        </w:rPr>
      </w:pPr>
    </w:p>
    <w:p>
      <w:pPr>
        <w:ind w:left="460" w:hanging="452"/>
        <w:spacing w:after="0" w:line="186" w:lineRule="auto"/>
        <w:tabs>
          <w:tab w:leader="none" w:pos="46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u w:val="single" w:color="auto"/>
          <w:color w:val="auto"/>
        </w:rPr>
        <w:t>Securities and Exchange Commission v. Talley Industries, Inc.</w:t>
      </w:r>
      <w:r>
        <w:rPr>
          <w:rFonts w:ascii="Times New Roman" w:cs="Times New Roman" w:eastAsia="Times New Roman" w:hAnsi="Times New Roman"/>
          <w:sz w:val="16"/>
          <w:szCs w:val="16"/>
          <w:color w:val="auto"/>
        </w:rPr>
        <w:t xml:space="preserve">, 399 F.2d 396, 405 (2d Cir. 1968), </w:t>
      </w:r>
      <w:r>
        <w:rPr>
          <w:rFonts w:ascii="Times New Roman" w:cs="Times New Roman" w:eastAsia="Times New Roman" w:hAnsi="Times New Roman"/>
          <w:sz w:val="16"/>
          <w:szCs w:val="16"/>
          <w:u w:val="single" w:color="auto"/>
          <w:color w:val="auto"/>
        </w:rPr>
        <w:t>cert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denied</w:t>
      </w:r>
      <w:r>
        <w:rPr>
          <w:rFonts w:ascii="Times New Roman" w:cs="Times New Roman" w:eastAsia="Times New Roman" w:hAnsi="Times New Roman"/>
          <w:sz w:val="16"/>
          <w:szCs w:val="16"/>
          <w:color w:val="auto"/>
        </w:rPr>
        <w:t>, 393 U.S. 1015 (1969).</w:t>
      </w:r>
    </w:p>
    <w:p>
      <w:pPr>
        <w:spacing w:after="0" w:line="2" w:lineRule="exact"/>
        <w:rPr>
          <w:rFonts w:ascii="Times New Roman" w:cs="Times New Roman" w:eastAsia="Times New Roman" w:hAnsi="Times New Roman"/>
          <w:sz w:val="24"/>
          <w:szCs w:val="24"/>
          <w:color w:val="auto"/>
          <w:vertAlign w:val="superscript"/>
        </w:rPr>
      </w:pPr>
    </w:p>
    <w:p>
      <w:pPr>
        <w:ind w:left="460" w:hanging="452"/>
        <w:spacing w:after="0" w:line="186" w:lineRule="auto"/>
        <w:tabs>
          <w:tab w:leader="none" w:pos="460"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H.Rep. No. 96-1341, 96th Cong., 2d Sess. 45 (1980) reprinted in 1980 U.S.C.C.A.N. 4827.</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70" w:right="339" w:bottom="1440" w:gutter="0" w:footer="0" w:header="0"/>
        </w:sectPr>
      </w:pPr>
    </w:p>
    <w:bookmarkStart w:id="27" w:name="page28"/>
    <w:bookmarkEnd w:id="27"/>
    <w:p>
      <w:pPr>
        <w:ind w:left="460" w:hanging="452"/>
        <w:spacing w:after="0"/>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Precedents</w:t>
      </w:r>
    </w:p>
    <w:p>
      <w:pPr>
        <w:spacing w:after="0" w:line="117"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18"/>
          <w:szCs w:val="18"/>
          <w:color w:val="auto"/>
        </w:rPr>
        <w:t>The Commission has issued numerous exemptive orders under the Act permitting registered investment companies and BDCs to co-invest with affiliated persons.</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xml:space="preserve"> Although the various precedents involved somewhat different formulae, the Commission has accepted, as a basis for relief from the prohibitions on joint transactions, use of allocation and approval procedures to protect the interests of investors in the BDCs and registered investment companies. The relief requested in this Application with respect to Follow-On Investments is based on the temporary relief granted by the Commission on April 8, 2020.</w:t>
      </w:r>
      <w:r>
        <w:rPr>
          <w:rFonts w:ascii="Times New Roman" w:cs="Times New Roman" w:eastAsia="Times New Roman" w:hAnsi="Times New Roman"/>
          <w:sz w:val="26"/>
          <w:szCs w:val="26"/>
          <w:color w:val="auto"/>
          <w:vertAlign w:val="superscript"/>
        </w:rPr>
        <w:t>24</w:t>
      </w:r>
      <w:r>
        <w:rPr>
          <w:rFonts w:ascii="Times New Roman" w:cs="Times New Roman" w:eastAsia="Times New Roman" w:hAnsi="Times New Roman"/>
          <w:sz w:val="18"/>
          <w:szCs w:val="18"/>
          <w:color w:val="auto"/>
        </w:rPr>
        <w:t xml:space="preserve"> Applicants submit that the allocation procedures set forth in the Conditions for relief are consistent with and expand the range of investor protections found in the orders 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886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73" w:lineRule="exact"/>
        <w:rPr>
          <w:sz w:val="20"/>
          <w:szCs w:val="20"/>
          <w:color w:val="auto"/>
        </w:rPr>
      </w:pPr>
    </w:p>
    <w:p>
      <w:pPr>
        <w:ind w:left="460" w:right="20" w:hanging="452"/>
        <w:spacing w:after="0" w:line="256" w:lineRule="auto"/>
        <w:tabs>
          <w:tab w:leader="none" w:pos="46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u w:val="single" w:color="auto"/>
          <w:color w:val="auto"/>
        </w:rPr>
        <w:t>See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Principal Diversified Select Real Asset Fund, et al., (File No. 812-15083) Release No. IC-34125 (order) (December 1, 2020), Release No. IC-34086 (notice) (November 4, 2020); Oaktree Strategic Income II, Inc., et al., (File No. 812-15156) Release No. IC-34141 (order) (December 15, 2020), Release No. 34099 (notice) (November 18, 2020); Main Street Capital Corporation, et al., (File No. 812-14979) Release No. IC-34146 (order) (December 12, 2020), Release No. IC-34103 (notice) (November 23, 2020); KKR Income Opportunities Fund, et al., (File No. 812-14951) Release No. IC-34164 (order) (January 5, 2021), Release No. IC-34138 (notice) (December 11, 2020); Palmer Square Capital BDC Inc., et al., (File No. 812-15113), Release No. IC-34167 (order) (January 8, 2021), Release No. IC-34139 (notice) (December 14, 2020); Hamilton Lane Private Assets Fund, et al., (File No. 812-15099) Release No. IC-34201 (order) (February 23, 2021) and Release No. IC-34182 (release) (January 28, 2021); Muzinich BDC, Inc., et al., (File No. 812-15086), Release No. IC-34219 (order) (March 2, 2021), Release No. IC-34186 (notice) (February 2, 2021); Star Mountain Credit Opportunities Fund, LP, et. al., (File No. 812-15120) Release No. IC-34228 (order) (March 23, 2021), Release No. IC-34202 (notice) (February 23, 2021); Rand Capital Corporation, et al., (File No. 812-15174) Release No. IC-34237 (order) (March 29, 2021), Release No. IC-34218 (notice) (March 1, 2021); Delaware Wilshire Private Markets Master Fund, et al., (File No. 812-15119-01) Release No. IC-34296 (order) (June 8, 2021), Release No. IC-34270 (notice) (May 12, 2021); Franklin Templeton Co-Investing Interval Fund, et al., (File No. 812-15170) Release No. IC-34307 (order) (June 22, 2021), Release No. IC-34289 (notice) (May 27, 2021); First Eagle Alternative Capital BDC, Inc., et al., (File No.</w:t>
      </w:r>
    </w:p>
    <w:p>
      <w:pPr>
        <w:spacing w:after="0" w:line="5" w:lineRule="exact"/>
        <w:rPr>
          <w:rFonts w:ascii="Times New Roman" w:cs="Times New Roman" w:eastAsia="Times New Roman" w:hAnsi="Times New Roman"/>
          <w:sz w:val="26"/>
          <w:szCs w:val="26"/>
          <w:color w:val="auto"/>
          <w:vertAlign w:val="superscript"/>
        </w:rPr>
      </w:pPr>
    </w:p>
    <w:p>
      <w:pPr>
        <w:jc w:val="both"/>
        <w:ind w:left="460" w:right="340"/>
        <w:spacing w:after="0" w:line="265"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812-15151) Release No. IC-34330 (order) (July 13, 2021), Release No. IC-34301 (notice) (June 15, 2021); Investcorp Credit Management BDC, Inc., et al., (File No. 812-15176) Release No. IC-34338 (order) (July 20, 2021), Release No. IC-34318 (notice) (June 24, 2021); Commonwealth Credit Partners BDC I, Inc., et al., (File No. 812-15195) Release No. IC-34347 (order) (August 2, 2021), Release No. IC-34325 (notice) (July 7, 2021); Pomona Investment Fund, et al., (File No. 812-15218) Release No. IC-34398 (order) (October 13, 2021), Release No. IC-34374 (notice)</w:t>
      </w:r>
    </w:p>
    <w:p>
      <w:pPr>
        <w:ind w:left="460" w:right="20"/>
        <w:spacing w:after="0" w:line="265"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(September 14, 2021); Blackstone / GSO Floating Rate Enhanced Income Fund, et al., (File No. 812-15135) Release No. IC-34427 (order) (November 29, 2021), Release No. IC-34412 (notice) (November 1, 2021); MVP Private Markets Fund, et al., (File No. 812-15249) Release No. IC-34439 (order) (December 14, 2021), Release No. IC-34420 (notice) (November 18, 2021); Bain Capital Specialty Finance, Inc., et al., (File No. 812-15222) Release No. IC-34445 (order) (December 20, 2021), Release No. IC-34422 (notice) (November 22, 2021); Calamos Hunt Alternative Income Fund, et al., (File No. 812-15204) Release No. IC-34454 (order) (December 27, 2021), Release No. IC-34428 (notice) (November 30, 2021); Apollo Investment Corporation, et al., (File No. 812-15015) Release No. IC-34458 (order) (December 29, 2021), Release No. IC-34432 (notice)</w:t>
      </w:r>
    </w:p>
    <w:p>
      <w:pPr>
        <w:ind w:left="460"/>
        <w:spacing w:after="0" w:line="25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(December 3, 2021); Fairway Private Equity &amp; Venture Capital Opportunities Fund, et al., (File No. 812-15256) Release No. IC-34467 (order) (January 10, 2022), Release No. IC-34428 (notice) (December 13, 2021); Neuberger Berman BDC LLC, et al., (File No. 812-15124) Release No. IC-34469 (order) (January 13, 2022), Release No. IC-34443 (notice) (December 16, 2021); Variant Alternative Income Fund, et al., (File No. 812-15265) Release No. IC-34476 (order) (January 19, 2022), Release No. IC-34452 (notice) (December 23, 2021); Yieldstreet Prism Fund Inc., et al., (File No. 812-15038) Release No. IC-34090 (order) (November 10, 2020), Release No. IC-34050 (notice) (October 15, 2020); Rand Capital Corporation, et al., (File No. 812-15108) Release No. IC-34046 (order) (October 7, 2020), Release No. IC-34006 (notice) (September 11, 2020); 1WS Credit Income Fund, et al., (File No. 812-14997) Release No. IC-34036 (order) (September 30, 2020), Release No. IC-33959A (notice) (September 4, 2020); Morgan Stanley Direct Lending Fund, et al., (File No. 812-15057) Release No. IC-34016 (order) (September 18, 2020), Release No. IC-33958A (notice) (August 28, 2020); FS Global Credit Opportunities Fund, et al., (File No. 812-14987) Release No. IC-33968 (order) (August 11, 2020), Release No. IC-33927 (notice) (July 15, 2020); Runway Growth Credit Fund, Inc., et al., (File No. 812-15105) Release No. IC-33967 (order) (August 10, 2020). Release No. IC-33925 (notice) (July 13, 2020); OFS Capital Corp., et al., (File No. 812-14909) Release No. IC-33962 (order) (August 4, 2020), Release No. IC-33922 (notice) (July 8, 2020); Conversus Stepstone Private Markets, et al., (File No. 812-15072) Release No. IC-33930 (order) (July 21, 2020), Release No. IC-33913 (notice) (June 25, 2020); Veragon Capital Corporation, et al., (File</w:t>
      </w:r>
    </w:p>
    <w:p>
      <w:pPr>
        <w:spacing w:after="0" w:line="5" w:lineRule="exact"/>
        <w:rPr>
          <w:rFonts w:ascii="Times New Roman" w:cs="Times New Roman" w:eastAsia="Times New Roman" w:hAnsi="Times New Roman"/>
          <w:sz w:val="26"/>
          <w:szCs w:val="26"/>
          <w:color w:val="auto"/>
          <w:vertAlign w:val="superscript"/>
        </w:rPr>
      </w:pPr>
    </w:p>
    <w:p>
      <w:pPr>
        <w:ind w:left="460" w:right="60"/>
        <w:spacing w:after="0" w:line="25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No. 812-15059) Release No. IC-33892 (order) (June 15, 2020), Release No. IC-33867 (notice) (May 18, 2020); FS Credit Income Fund, et al., (File No. 812-14905) Release No. IC-3871 (order) (May 19, 2020), Release No. IC-33848 (notice) (April 22, 2020); Invesco Advisers, Inc., et al., (File No. 812-15061) Release No. IC-33870 (order) (May 19, 2020), Release No. IC-33844 (notice) (April 21, 2020); Great Elm Capital Corp., et al. (File No. 812-15019) Release No. IC-33864 (order) (May 12, 2020), Release No. IC-33839 (notice) (April 15, 2020); AIP Private Equity Opportunities Fund I A LP, et al., (File No. 812-15047) Release No. IC-33850 (order) (April 22, 2020), Release No. IC-33818 (notice) (March 16, 2020); Kayne Anderson MLP/Midstream Investment Company, et al., (File No. 812-14940) Release No. IC-33798 (order) (February 4, 2020), Release No. IC-33742 (notice) (January 8, 2020); Fundrise RFeal Estate Interval Fund, LLC, et al., (File No. 812-15040) Release No. IC-33793 (order) (January 28, 2020), Release No. IC-33739 (notice) (December 31, 2019)</w:t>
      </w:r>
    </w:p>
    <w:p>
      <w:pPr>
        <w:spacing w:after="0" w:line="3" w:lineRule="exact"/>
        <w:rPr>
          <w:rFonts w:ascii="Times New Roman" w:cs="Times New Roman" w:eastAsia="Times New Roman" w:hAnsi="Times New Roman"/>
          <w:sz w:val="26"/>
          <w:szCs w:val="26"/>
          <w:color w:val="auto"/>
          <w:vertAlign w:val="superscript"/>
        </w:rPr>
      </w:pPr>
    </w:p>
    <w:p>
      <w:pPr>
        <w:ind w:left="460" w:right="80" w:hanging="452"/>
        <w:spacing w:after="0" w:line="200" w:lineRule="auto"/>
        <w:tabs>
          <w:tab w:leader="none" w:pos="460" w:val="left"/>
        </w:tabs>
        <w:numPr>
          <w:ilvl w:val="0"/>
          <w:numId w:val="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BDC Temporary Exemptive Order</w:t>
      </w:r>
      <w:r>
        <w:rPr>
          <w:rFonts w:ascii="Times New Roman" w:cs="Times New Roman" w:eastAsia="Times New Roman" w:hAnsi="Times New Roman"/>
          <w:sz w:val="18"/>
          <w:szCs w:val="18"/>
          <w:color w:val="auto"/>
        </w:rPr>
        <w:t>, Investment Company Act Rel. Nos. 33837 (April 8, 2020) (order) (extension granted January 5, 2021 and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extension granted April 22, 2021).</w:t>
      </w:r>
    </w:p>
    <w:p>
      <w:pPr>
        <w:spacing w:after="0" w:line="1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270" w:right="359" w:bottom="1440" w:gutter="0" w:footer="0" w:header="0"/>
        </w:sectPr>
      </w:pPr>
    </w:p>
    <w:bookmarkStart w:id="28" w:name="page29"/>
    <w:bookmarkEnd w:id="28"/>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w:t>
      </w:r>
      <w:r>
        <w:rPr>
          <w:sz w:val="20"/>
          <w:szCs w:val="20"/>
          <w:color w:val="auto"/>
        </w:rPr>
        <w:tab/>
      </w:r>
      <w:r>
        <w:rPr>
          <w:rFonts w:ascii="Times New Roman" w:cs="Times New Roman" w:eastAsia="Times New Roman" w:hAnsi="Times New Roman"/>
          <w:sz w:val="18"/>
          <w:szCs w:val="18"/>
          <w:b w:val="1"/>
          <w:bCs w:val="1"/>
          <w:u w:val="single" w:color="auto"/>
          <w:color w:val="auto"/>
        </w:rPr>
        <w:t>STATEMENT IN SUPPORT OF RELIEF REQUESTED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Rule 17d-1 (made applicable to transactions subject to Section 57(a) by Section 57(i)), the Commission may grant the requested relief as to any particular joint transaction if it finds that the participation of the Regulated Funds in the joint transaction is consistent with the provisions, policies and purposes of the Act and is not on a basis different from or less advantageous than that of other participants. Applicants submit that allowing the Co-Investment Transactions described in this Application is justified on the basis of (i) the potential benefits to the Regulated Funds and the shareholders thereof and (ii) the protections found in the Conditions.</w:t>
      </w:r>
    </w:p>
    <w:p>
      <w:pPr>
        <w:spacing w:after="0" w:line="183"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As required by Rule 17d-1(b), the Conditions ensure that the terms on which Co-Investment Transactions may be made will be consistent with the participation of the Regulated Funds being on a basis that it is neither different from nor less advantageous than other participants, thus protecting the equity holders of any participant from being disadvantaged. The Conditions ensure that all Co-Investment Transactions are reasonable and fair to the Regulated Funds and their shareholders and do not involve overreaching by any person concerned, including the Advisers.</w:t>
      </w:r>
    </w:p>
    <w:p>
      <w:pPr>
        <w:spacing w:after="0" w:line="328" w:lineRule="exact"/>
        <w:rPr>
          <w:sz w:val="20"/>
          <w:szCs w:val="20"/>
          <w:color w:val="auto"/>
        </w:rPr>
      </w:pPr>
    </w:p>
    <w:p>
      <w:pPr>
        <w:ind w:left="460" w:hanging="452"/>
        <w:spacing w:after="0"/>
        <w:tabs>
          <w:tab w:leader="none" w:pos="4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Potential Benefits</w:t>
      </w:r>
    </w:p>
    <w:p>
      <w:pPr>
        <w:spacing w:after="0" w:line="11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In the absence of the relief sought hereby, in many circumstances the Regulated Funds would be limited in their ability to participate in attractive and appropriate investment opportunities. Section 17(d), Section 57(a)(4) and Rule 17d-1 should not prevent BDCs and registered closed-end investment companies from making investments that are in the best interests of their shareholders.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Each Regulated Fund and its shareholders will benefit from the ability to participate in Co-Investment Transactions. Each of the BDC I Board, the BDC II Board, the BDC III Board and the CTAC Board, including the Independent Directors of such Regulated Funds, has determined that it is in the best interests of BDC I, BDC II, BDC III and CTAC, respectively, to participate in Co-Investment Transactions with certain affiliates of BDC I, BDC II, BDC III and CTAC, respectively, including the co-investment affiliates named in the Prior Order, the Affiliated Funds and the Capital Markets Affiliates, because, among other matters, (i) the Regulated Fund should be able to participate in a larger number and greater variety of transactions; (ii) the Regulated Fund should be able to participate in larger transactions; (iii) the Regulated Fund should be able to participate in all opportunities approved by a Required Majority or otherwise permissible under the Order rather than risk underperformance through rotational allocation of opportunities among the Regulated Funds; (iv) the Regulated Fund and any other Regulated Funds participating in the proposed investment should have greater bargaining power, more control over the investment and less need to bring in other external investors or structure investments to satisfy the different needs of external investors;</w:t>
      </w:r>
    </w:p>
    <w:p>
      <w:pPr>
        <w:spacing w:after="0" w:line="6" w:lineRule="exact"/>
        <w:rPr>
          <w:sz w:val="20"/>
          <w:szCs w:val="20"/>
          <w:color w:val="auto"/>
        </w:rPr>
      </w:pPr>
    </w:p>
    <w:p>
      <w:pPr>
        <w:ind w:right="40" w:firstLine="8"/>
        <w:spacing w:after="0" w:line="230"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 should be able to obtain greater attention and better deal flow from investment bankers and others who act as sources of investments; and (vi) the Conditions are fair to the Regulated Funds and their shareholders.</w:t>
      </w:r>
      <w:r>
        <w:rPr>
          <w:rFonts w:ascii="Times New Roman" w:cs="Times New Roman" w:eastAsia="Times New Roman" w:hAnsi="Times New Roman"/>
          <w:sz w:val="26"/>
          <w:szCs w:val="26"/>
          <w:color w:val="auto"/>
          <w:vertAlign w:val="superscript"/>
        </w:rPr>
        <w:t>25</w:t>
      </w:r>
      <w:r>
        <w:rPr>
          <w:rFonts w:ascii="Times New Roman" w:cs="Times New Roman" w:eastAsia="Times New Roman" w:hAnsi="Times New Roman"/>
          <w:sz w:val="18"/>
          <w:szCs w:val="18"/>
          <w:color w:val="auto"/>
        </w:rPr>
        <w:t xml:space="preserve"> Each of the BDC I Board, the BDC II Board, the BDC III Board and the CTAC Board, including the Independent Directors of such Regulated Funds, also has determined that it is in the best interests of the Regulated Fund and its shareholders to obtain the Order at the earliest possible time and instructed the officers of the Regulated Fund, CGCIM and counsel to use all appropriate efforts to accomplish such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right="160" w:hanging="452"/>
        <w:spacing w:after="0" w:line="208" w:lineRule="auto"/>
        <w:tabs>
          <w:tab w:leader="none" w:pos="460" w:val="left"/>
        </w:tabs>
        <w:numPr>
          <w:ilvl w:val="0"/>
          <w:numId w:val="6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It is anticipated that the Board of each other Regulated Fund will make similar findings before engaging in a Co-Investment Transaction in reliance on the requested Order.</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266" w:right="359" w:bottom="1440" w:gutter="0" w:footer="0" w:header="0"/>
        </w:sectPr>
      </w:pPr>
    </w:p>
    <w:bookmarkStart w:id="29" w:name="page30"/>
    <w:bookmarkEnd w:id="29"/>
    <w:p>
      <w:pPr>
        <w:ind w:left="460" w:hanging="452"/>
        <w:spacing w:after="0"/>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Protective Representations and Conditions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Conditions ensure that the proposed Co-Investment Transactions are consistent with the protection of each Regulated Fund’s shareholders and with the purposes intended by the policies and provisions of the Act. Specifically, the Conditions incorporate the following critical protections: (i) all Regulated Funds participating in the Co-Investment Transactions will invest at the same time (except that, subject to the limitations in the Conditions, the settlement date for an Affiliated Fund in a Co-Investment Transaction may occur up to ten business days after the settlement date for the Regulated Fund, and vice versa), for the same price and with the same terms, conditions, class, registration rights and any other rights, so that none of them receives terms more favorable than any other; (ii) a Required Majority of each Regulated Fund must approve various investment decisions (not including transactions completed on a pro rata basis pursuant to Conditions 6(c)(i) and 8(b)(i) or otherwise not requiring Board approval) with respect to such Regulated Fund in accordance with the Conditions; and (iii) the Regulated Funds are required to retain and maintain certain records.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Applicants believe that participation by the Regulated Funds in Pro Rata Follow-On Investments and Pro Rata Dispositions, as provided in Conditions 6(c)</w:t>
      </w:r>
    </w:p>
    <w:p>
      <w:pPr>
        <w:spacing w:after="0" w:line="27" w:lineRule="exact"/>
        <w:rPr>
          <w:sz w:val="20"/>
          <w:szCs w:val="20"/>
          <w:color w:val="auto"/>
        </w:rPr>
      </w:pPr>
    </w:p>
    <w:p>
      <w:pPr>
        <w:ind w:firstLine="8"/>
        <w:spacing w:after="0" w:line="253" w:lineRule="auto"/>
        <w:tabs>
          <w:tab w:leader="none" w:pos="2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8(b)(i), is consistent with the provisions, policies and purposes of the Act and will not be made on a basis different from or less advantageous than that of other participants. A formulaic approach, such as pro rata investment or disposition eliminates the possibility for overreaching and unnecessary prior review by the Board.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Applicants also believe that the participation by the Regulated Funds in Non-Negotiated Follow-On Investments and in Dispositions of Tradable Securities without the approval of a Required Majority is consistent with the provisions, policies and purposes of the Act as there is no opportunity for overreaching by affiliates.</w:t>
      </w:r>
    </w:p>
    <w:p>
      <w:pPr>
        <w:spacing w:after="0" w:line="1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Additional duties imposed by the Conditions on the Advisers include maintaining written policies and procedures reasonably designed to ensure compliance with the Conditions.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an Adviser, its principals, or any person controlling, controlled by, or under common control with the Adviser or its principals, and the Affiliated Funds (collectively,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own in the aggregate more than 25 percent of the outstanding voting shares of a Regulated Fund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then the Holders will vote such Shares as required under Condition 15.</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discussed in section III of this Application, all of Applicants’ investment activities are conducted within a global, centralized investment committee and allocation process and overseen by a unified, global compliance program. Together the global processes and compliance program would ensure that the Commission and its staff have complete transparency into the Co-Investment Program and the Advisers involved with the Co-Investment Program through its access to CGCIM. Because any current and future Advisers that are not registered investment advisers are overseen by the same global compliance program, documentation and personnel relevant to the proposed Co-Investment Program, including documentation and personnel involved in investment committee, portfolio allocation and investment execution processes, would necessarily be subject to Commission and staff oversight. In particular, documentation and personnel relevant to the proposed Co-Investment Program would necessarily be subject to Commission and staff oversight in at least three ways:</w:t>
      </w:r>
    </w:p>
    <w:p>
      <w:pPr>
        <w:spacing w:after="0" w:line="97" w:lineRule="exact"/>
        <w:rPr>
          <w:sz w:val="20"/>
          <w:szCs w:val="20"/>
          <w:color w:val="auto"/>
        </w:rPr>
      </w:pPr>
    </w:p>
    <w:p>
      <w:pPr>
        <w:ind w:left="1000" w:right="20" w:hanging="439"/>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Commission or its staff could demand to examine books and records of CGCIM, a registered investment adviser subject to Commission examination authority, and CGCIM itself can access any and all documentation produced at any stage of the investment process. Access to such information is readily available due to the operational necessities and integration of Carlyle’s global business.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270" w:right="359" w:bottom="1440" w:gutter="0" w:footer="0" w:header="0"/>
        </w:sectPr>
      </w:pPr>
    </w:p>
    <w:bookmarkStart w:id="30" w:name="page31"/>
    <w:bookmarkEnd w:id="30"/>
    <w:p>
      <w:pPr>
        <w:ind w:left="1000" w:hanging="439"/>
        <w:spacing w:after="0" w:line="255"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the Commission and its staff have explicit examination authority over CGCIM, including the compliance program of CGCIM, which oversees all personnel that would be involved in the proposed Co-Investment Program. As described in this Application, all Carlyle personnel, including, without limitation, personnel of the Advisers, involved in providing investment advice to CGCIM clients is a supervised person of Carlyle subject to its compliance program and direct supervisory oversight of the United States based chief compliance officer and compliance team. Additionally, CGCIM’s code of ethics, which is far broader than the requirements of Rule 204A-1, makes clear that all supervised persons must comply with all applicable U.S. securities laws and act in a manner consistent with the fiduciary duty that CGCIM owes to its clients.</w:t>
      </w:r>
    </w:p>
    <w:p>
      <w:pPr>
        <w:spacing w:after="0" w:line="94" w:lineRule="exact"/>
        <w:rPr>
          <w:rFonts w:ascii="Times New Roman" w:cs="Times New Roman" w:eastAsia="Times New Roman" w:hAnsi="Times New Roman"/>
          <w:sz w:val="18"/>
          <w:szCs w:val="18"/>
          <w:color w:val="auto"/>
        </w:rPr>
      </w:pPr>
    </w:p>
    <w:p>
      <w:pPr>
        <w:ind w:left="1000" w:right="80" w:hanging="439"/>
        <w:spacing w:after="0" w:line="25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Commission has jurisdiction in the federal courts of the United States over the investment advisory activities related to CGCIM’s clients conducted by Advisers. Accordingly, such jurisdiction would also translate into the proposed Co-Investment Program itself being subject to jurisdiction of the federal courts of the United States. Therefore, no investment advice rendered in accordance with the Co-investment Program is outside of the Commission staff’s purview. Further, every Carlyle employee, including, without limitation, personnel of the Advisers, involved in the global investment committee process is not only deemed an associated person of CGCIM, but also treated as an “access person” under CGCIM’s code of ethics.</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global compliance program will be a key element in ensuring that the proposed Co-Investment Transactions are consistent with the protection of each Regulated Fund’s shareholders and with the purposes intended by the policies and provisions of the 1940 Act.</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sum, the Applicants believe that the Conditions would ensure that each Regulated Fund that participates in any type of Co-Investment Transaction does not participate on a basis different from, or less advantageous than, that of such other participants for purposes of Section 17(d) or Section 57(a)(4) and the Rules under the Act. As a result, Applicants believe that the participation of the Regulated Funds in Co-Investment Transactions in accordance with the Conditions would be consistent with the provisions, policies, and purposes of the Act, and would be done in a manner that was not different from, or less advantageous than, the other participants.</w:t>
      </w:r>
    </w:p>
    <w:p>
      <w:pPr>
        <w:spacing w:after="0" w:line="328" w:lineRule="exact"/>
        <w:rPr>
          <w:sz w:val="20"/>
          <w:szCs w:val="20"/>
          <w:color w:val="auto"/>
        </w:rPr>
      </w:pPr>
    </w:p>
    <w:p>
      <w:pPr>
        <w:ind w:left="460" w:hanging="452"/>
        <w:spacing w:after="0"/>
        <w:tabs>
          <w:tab w:leader="none" w:pos="4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Applicants agree that any Order granting the requested relief shall be subject to the following Conditions:</w:t>
      </w:r>
    </w:p>
    <w:p>
      <w:pPr>
        <w:spacing w:after="0" w:line="225" w:lineRule="exact"/>
        <w:rPr>
          <w:sz w:val="20"/>
          <w:szCs w:val="20"/>
          <w:color w:val="auto"/>
        </w:rPr>
      </w:pPr>
    </w:p>
    <w:p>
      <w:pPr>
        <w:ind w:left="640" w:hanging="183"/>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and Referral of Potential Co-Investment Transactions</w:t>
      </w:r>
    </w:p>
    <w:p>
      <w:pPr>
        <w:spacing w:after="0" w:line="225" w:lineRule="exact"/>
        <w:rPr>
          <w:rFonts w:ascii="Times New Roman" w:cs="Times New Roman" w:eastAsia="Times New Roman" w:hAnsi="Times New Roman"/>
          <w:sz w:val="18"/>
          <w:szCs w:val="18"/>
          <w:color w:val="auto"/>
        </w:rPr>
      </w:pPr>
    </w:p>
    <w:p>
      <w:pPr>
        <w:ind w:right="20" w:firstLine="1019"/>
        <w:spacing w:after="0" w:line="266" w:lineRule="auto"/>
        <w:tabs>
          <w:tab w:leader="none" w:pos="125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establish, maintain and implement policies and procedures reasonably designed to ensure that each Adviser is promptly notified of all Potential Co-Investment Transactions that fall within the then-current Objectives and Strategies and Board-Established Criteria of any Regulated Fund the Adviser manages.</w:t>
      </w:r>
    </w:p>
    <w:p>
      <w:pPr>
        <w:spacing w:after="0" w:line="175" w:lineRule="exact"/>
        <w:rPr>
          <w:rFonts w:ascii="Times New Roman" w:cs="Times New Roman" w:eastAsia="Times New Roman" w:hAnsi="Times New Roman"/>
          <w:sz w:val="18"/>
          <w:szCs w:val="18"/>
          <w:color w:val="auto"/>
        </w:rPr>
      </w:pPr>
    </w:p>
    <w:p>
      <w:pPr>
        <w:ind w:right="80" w:firstLine="1019"/>
        <w:spacing w:after="0" w:line="312" w:lineRule="auto"/>
        <w:tabs>
          <w:tab w:leader="none" w:pos="126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 Adviser to a Regulated Fund is notified of a Potential Co-Investment Transaction under Condition 1(a), the Adviser will make an independent determination of the appropriateness of the investment for the Regulated Fund in light of the Regulated Fund’s then-current circumstances.</w:t>
      </w:r>
    </w:p>
    <w:p>
      <w:pPr>
        <w:spacing w:after="0" w:line="139" w:lineRule="exact"/>
        <w:rPr>
          <w:rFonts w:ascii="Times New Roman" w:cs="Times New Roman" w:eastAsia="Times New Roman" w:hAnsi="Times New Roman"/>
          <w:sz w:val="17"/>
          <w:szCs w:val="17"/>
          <w:color w:val="auto"/>
        </w:rPr>
      </w:pPr>
    </w:p>
    <w:p>
      <w:pPr>
        <w:ind w:left="640" w:hanging="183"/>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Approvals of Co-Investment Transactions</w:t>
      </w:r>
    </w:p>
    <w:p>
      <w:pPr>
        <w:spacing w:after="0" w:line="225" w:lineRule="exact"/>
        <w:rPr>
          <w:rFonts w:ascii="Times New Roman" w:cs="Times New Roman" w:eastAsia="Times New Roman" w:hAnsi="Times New Roman"/>
          <w:sz w:val="18"/>
          <w:szCs w:val="18"/>
          <w:color w:val="auto"/>
        </w:rPr>
      </w:pPr>
    </w:p>
    <w:p>
      <w:pPr>
        <w:ind w:right="340" w:firstLine="1019"/>
        <w:spacing w:after="0" w:line="282" w:lineRule="auto"/>
        <w:tabs>
          <w:tab w:leader="none" w:pos="125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Adviser deems a Regulated Fund’s participation in any Potential Co-Investment Transaction to be appropriate for the Regulated Fund, it will then determine an appropriate level of investment for the Regulated Fund.</w:t>
      </w:r>
    </w:p>
    <w:p>
      <w:pPr>
        <w:spacing w:after="0" w:line="161" w:lineRule="exact"/>
        <w:rPr>
          <w:rFonts w:ascii="Times New Roman" w:cs="Times New Roman" w:eastAsia="Times New Roman" w:hAnsi="Times New Roman"/>
          <w:sz w:val="18"/>
          <w:szCs w:val="18"/>
          <w:color w:val="auto"/>
        </w:rPr>
      </w:pPr>
    </w:p>
    <w:p>
      <w:pPr>
        <w:ind w:right="40" w:firstLine="1019"/>
        <w:spacing w:after="0" w:line="258" w:lineRule="auto"/>
        <w:tabs>
          <w:tab w:leader="none" w:pos="126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amount recommended by the Advisers to be invested in the Potential Co-Investment Transaction by the participating Regulated Funds and any participating Affiliated Funds, collectively, exceeds the amount of the investment opportunity, the investment opportunity will be allocated among them pro rata based on the size of the Internal Orders, as described in Section III.A.1.b above. Each Adviser to a participating Regulated Fund will promptly notify and provide the Eligible Directors with information concerning the Affiliated Funds’ and Regulated Funds’ order sizes to assist the Eligible Directors with their review of the applicable Regulated Fund’s investments for compliance with these Conditions.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270" w:right="359" w:bottom="1440" w:gutter="0" w:footer="0" w:header="0"/>
        </w:sectPr>
      </w:pPr>
    </w:p>
    <w:bookmarkStart w:id="31" w:name="page32"/>
    <w:bookmarkEnd w:id="31"/>
    <w:p>
      <w:pPr>
        <w:ind w:right="40" w:firstLine="1019"/>
        <w:spacing w:after="0" w:line="258" w:lineRule="auto"/>
        <w:tabs>
          <w:tab w:leader="none" w:pos="1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making the determinations required in Condition 1(b) above, each Adviser to a participating Regulated Fund will distribute written information concerning the Potential Co-Investment Transaction (including the amount proposed to be invested by each participating Regulated Fund, each participating Affiliated Fund and each participating Capital Markets Affiliate) to the Eligible Directors of its participating Regulated Fund(s) for their consideration. A Regulated Fund will enter into a Co-Investment Transaction with one or more other Regulated Funds, Affiliated Fund or Capital Markets Affiliates only if, prior to the Regulated Fund’s participation in the Potential Co-Investment Transaction, a Required Majority concludes that:</w:t>
      </w:r>
    </w:p>
    <w:p>
      <w:pPr>
        <w:spacing w:after="0" w:line="75" w:lineRule="exact"/>
        <w:rPr>
          <w:rFonts w:ascii="Times New Roman" w:cs="Times New Roman" w:eastAsia="Times New Roman" w:hAnsi="Times New Roman"/>
          <w:sz w:val="18"/>
          <w:szCs w:val="18"/>
          <w:color w:val="auto"/>
        </w:rPr>
      </w:pPr>
    </w:p>
    <w:p>
      <w:pPr>
        <w:ind w:left="1020" w:right="460" w:firstLine="408"/>
        <w:spacing w:after="0" w:line="312" w:lineRule="auto"/>
        <w:tabs>
          <w:tab w:leader="none" w:pos="1644"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the transaction, including the consideration to be paid, are reasonable and fair to the Regulated Fund and its equity holders and do not involve overreaching in respect of the Regulated Fund or its equity holders on the part of any person concerned;</w:t>
      </w:r>
    </w:p>
    <w:p>
      <w:pPr>
        <w:spacing w:after="0" w:line="31" w:lineRule="exact"/>
        <w:rPr>
          <w:rFonts w:ascii="Times New Roman" w:cs="Times New Roman" w:eastAsia="Times New Roman" w:hAnsi="Times New Roman"/>
          <w:sz w:val="17"/>
          <w:szCs w:val="17"/>
          <w:color w:val="auto"/>
        </w:rPr>
      </w:pPr>
    </w:p>
    <w:p>
      <w:pPr>
        <w:ind w:left="1700" w:hanging="272"/>
        <w:spacing w:after="0"/>
        <w:tabs>
          <w:tab w:leader="none" w:pos="17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consistent with:</w:t>
      </w:r>
    </w:p>
    <w:p>
      <w:pPr>
        <w:spacing w:after="0" w:line="117" w:lineRule="exact"/>
        <w:rPr>
          <w:rFonts w:ascii="Times New Roman" w:cs="Times New Roman" w:eastAsia="Times New Roman" w:hAnsi="Times New Roman"/>
          <w:sz w:val="18"/>
          <w:szCs w:val="18"/>
          <w:color w:val="auto"/>
        </w:rPr>
      </w:pPr>
    </w:p>
    <w:p>
      <w:pPr>
        <w:ind w:left="2160" w:hanging="301"/>
        <w:spacing w:after="0"/>
        <w:tabs>
          <w:tab w:leader="none" w:pos="21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the Regulated Fund’s equity holders; and</w:t>
      </w:r>
    </w:p>
    <w:p>
      <w:pPr>
        <w:spacing w:after="0" w:line="117" w:lineRule="exact"/>
        <w:rPr>
          <w:rFonts w:ascii="Times New Roman" w:cs="Times New Roman" w:eastAsia="Times New Roman" w:hAnsi="Times New Roman"/>
          <w:sz w:val="18"/>
          <w:szCs w:val="18"/>
          <w:color w:val="auto"/>
        </w:rPr>
      </w:pPr>
    </w:p>
    <w:p>
      <w:pPr>
        <w:ind w:left="2140" w:hanging="281"/>
        <w:spacing w:after="0"/>
        <w:tabs>
          <w:tab w:leader="none" w:pos="214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Regulated Fund’s then-current Objectives and Strategies;</w:t>
      </w:r>
    </w:p>
    <w:p>
      <w:pPr>
        <w:spacing w:after="0" w:line="117" w:lineRule="exact"/>
        <w:rPr>
          <w:rFonts w:ascii="Times New Roman" w:cs="Times New Roman" w:eastAsia="Times New Roman" w:hAnsi="Times New Roman"/>
          <w:sz w:val="18"/>
          <w:szCs w:val="18"/>
          <w:color w:val="auto"/>
        </w:rPr>
      </w:pPr>
    </w:p>
    <w:p>
      <w:pPr>
        <w:ind w:left="1020" w:right="100" w:firstLine="408"/>
        <w:spacing w:after="0" w:line="261" w:lineRule="auto"/>
        <w:tabs>
          <w:tab w:leader="none" w:pos="17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 by any other Regulated Fund(s), Affiliated Fund(s) or Capital Markets Affiliate(s) would not disadvantage the Regulated Fund, and participation by the Regulated Fund would not be on a basis different from, or less advantageous than, that of any other Regulated Fund(s), Affiliated Fund(s) or Capital Markets Affiliate(s) participating in the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Required Majority shall not be prohibited from reaching the conclusions required by this Condition 2(c)(iii) if:</w:t>
      </w:r>
    </w:p>
    <w:p>
      <w:pPr>
        <w:spacing w:after="0" w:line="71" w:lineRule="exact"/>
        <w:rPr>
          <w:rFonts w:ascii="Times New Roman" w:cs="Times New Roman" w:eastAsia="Times New Roman" w:hAnsi="Times New Roman"/>
          <w:sz w:val="18"/>
          <w:szCs w:val="18"/>
          <w:color w:val="auto"/>
        </w:rPr>
      </w:pPr>
    </w:p>
    <w:p>
      <w:pPr>
        <w:ind w:left="1460" w:firstLine="399"/>
        <w:spacing w:after="0" w:line="258" w:lineRule="auto"/>
        <w:tabs>
          <w:tab w:leader="none" w:pos="214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date for another Regulated Fund or an Affiliated Fund in a Co-Investment Transaction is later than the settlement date for the Regulated Fund by no more than ten business days or earlier than the settlement date for the Regulated Fund by no more than ten business days, in either case, so long as: (x) the date on which the commitments of the Affiliated Funds and Regulated Funds are made is the same; and (y) the earliest settlement date and the latest settlement date of any Affiliated Fund or Regulated Fund participating in the transaction will occur within ten business days of each other; or</w:t>
      </w:r>
    </w:p>
    <w:p>
      <w:pPr>
        <w:spacing w:after="0" w:line="75" w:lineRule="exact"/>
        <w:rPr>
          <w:rFonts w:ascii="Times New Roman" w:cs="Times New Roman" w:eastAsia="Times New Roman" w:hAnsi="Times New Roman"/>
          <w:sz w:val="18"/>
          <w:szCs w:val="18"/>
          <w:color w:val="auto"/>
        </w:rPr>
      </w:pPr>
    </w:p>
    <w:p>
      <w:pPr>
        <w:ind w:left="1460" w:firstLine="399"/>
        <w:spacing w:after="0" w:line="253" w:lineRule="auto"/>
        <w:tabs>
          <w:tab w:leader="none" w:pos="213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Regulated Fund or Affiliated Fund, but not the Regulated Fund itself, gains the right to nominate a director for election to a portfolio company’s board of directors, the right to have a board observer or any similar right to participate in the governance or management of the portfolio company so long as: (x) the Eligible Directors will have the right to ratify the selection of such director or board observer, if any; (y) the Adviser agrees to, and does, provide periodic reports to the Regulated Fund’s Board with respect to the actions of such director or the information received by such board observer or obtained through the exercise of any similar right to participate in the governance or management of the portfolio company; and (z) any fees or other compensation that any other Regulated Fund or Affiliated Fund or any affiliated person of any other Regulated Fund or Affiliated Fund receives in connection with the right of one or more Regulated Funds or Affiliated Funds to nominate a director or appoint a board observer or otherwise to participate in the governance or management of the portfolio company will be shared proportionately among any participating Affiliated Funds and Capital Markets Affiliates (who may, in turn, share their portion with their affiliated persons) and any participating Regulated Fund(s) in accordance with the amount of each such party’s investment; and</w:t>
      </w:r>
    </w:p>
    <w:p>
      <w:pPr>
        <w:spacing w:after="0" w:line="83" w:lineRule="exact"/>
        <w:rPr>
          <w:rFonts w:ascii="Times New Roman" w:cs="Times New Roman" w:eastAsia="Times New Roman" w:hAnsi="Times New Roman"/>
          <w:sz w:val="18"/>
          <w:szCs w:val="18"/>
          <w:color w:val="auto"/>
        </w:rPr>
      </w:pPr>
    </w:p>
    <w:p>
      <w:pPr>
        <w:jc w:val="both"/>
        <w:ind w:left="1020" w:right="380" w:firstLine="408"/>
        <w:spacing w:after="0" w:line="224" w:lineRule="auto"/>
        <w:tabs>
          <w:tab w:leader="none" w:pos="173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investment by the Regulated Fund will not involve compensation, remuneration or a direct or indirect</w:t>
      </w:r>
      <w:r>
        <w:rPr>
          <w:rFonts w:ascii="Times New Roman" w:cs="Times New Roman" w:eastAsia="Times New Roman" w:hAnsi="Times New Roman"/>
          <w:sz w:val="26"/>
          <w:szCs w:val="26"/>
          <w:color w:val="auto"/>
          <w:vertAlign w:val="superscript"/>
        </w:rPr>
        <w:t>26</w:t>
      </w:r>
      <w:r>
        <w:rPr>
          <w:rFonts w:ascii="Times New Roman" w:cs="Times New Roman" w:eastAsia="Times New Roman" w:hAnsi="Times New Roman"/>
          <w:sz w:val="18"/>
          <w:szCs w:val="18"/>
          <w:color w:val="auto"/>
        </w:rPr>
        <w:t xml:space="preserve"> financial benefit to the Advisers, any other Regulated Funds, the Affiliated Funds, the Capital Markets Affiliates or any affiliated person of any of them (other than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2" w:lineRule="exact"/>
        <w:rPr>
          <w:sz w:val="20"/>
          <w:szCs w:val="20"/>
          <w:color w:val="auto"/>
        </w:rPr>
      </w:pPr>
    </w:p>
    <w:p>
      <w:pPr>
        <w:ind w:left="460" w:right="140" w:hanging="452"/>
        <w:spacing w:after="0" w:line="208" w:lineRule="auto"/>
        <w:tabs>
          <w:tab w:leader="none" w:pos="460" w:val="left"/>
        </w:tabs>
        <w:numPr>
          <w:ilvl w:val="0"/>
          <w:numId w:val="7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example, procuring the Regulated Fund’s investment in a Potential Co-Investment Transaction to permit an affiliate to complete or obtain better terms in a separate transaction would constitute an indirect financial benefit.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270" w:right="339" w:bottom="1440" w:gutter="0" w:footer="0" w:header="0"/>
        </w:sectPr>
      </w:pPr>
    </w:p>
    <w:bookmarkStart w:id="32" w:name="page33"/>
    <w:bookmarkEnd w:id="32"/>
    <w:p>
      <w:pPr>
        <w:jc w:val="both"/>
        <w:ind w:left="102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Co-Investment Transaction), except (A) to the extent permitted by Condition 14, (B) to the extent permitted by Section 17(e) or 57(k), as applicable, (C) indirectly, as a result of an interest in the securities issued by one of the parties to the Co-Investment Transaction, or (D) in the case of fees or other compensation described in Condition 2(c)(iii)(B)(z).</w:t>
      </w:r>
    </w:p>
    <w:p>
      <w:pPr>
        <w:spacing w:after="0" w:line="176" w:lineRule="exact"/>
        <w:rPr>
          <w:sz w:val="20"/>
          <w:szCs w:val="20"/>
          <w:color w:val="auto"/>
        </w:rPr>
      </w:pPr>
    </w:p>
    <w:p>
      <w:pPr>
        <w:ind w:right="140" w:firstLine="457"/>
        <w:spacing w:after="0" w:line="282" w:lineRule="auto"/>
        <w:tabs>
          <w:tab w:leader="none" w:pos="6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Decline.</w:t>
      </w:r>
      <w:r>
        <w:rPr>
          <w:rFonts w:ascii="Times New Roman" w:cs="Times New Roman" w:eastAsia="Times New Roman" w:hAnsi="Times New Roman"/>
          <w:sz w:val="18"/>
          <w:szCs w:val="18"/>
          <w:color w:val="auto"/>
        </w:rPr>
        <w:t xml:space="preserve"> Each Regulated Fund has the right to decline to participate in any Potential Co-Investment Transaction or to invest less than the amount proposed.</w:t>
      </w:r>
    </w:p>
    <w:p>
      <w:pPr>
        <w:spacing w:after="0" w:line="161" w:lineRule="exact"/>
        <w:rPr>
          <w:rFonts w:ascii="Times New Roman" w:cs="Times New Roman" w:eastAsia="Times New Roman" w:hAnsi="Times New Roman"/>
          <w:sz w:val="18"/>
          <w:szCs w:val="18"/>
          <w:color w:val="auto"/>
        </w:rPr>
      </w:pPr>
    </w:p>
    <w:p>
      <w:pPr>
        <w:ind w:right="160" w:firstLine="457"/>
        <w:spacing w:after="0" w:line="213" w:lineRule="auto"/>
        <w:tabs>
          <w:tab w:leader="none" w:pos="6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Limitation</w:t>
      </w:r>
      <w:r>
        <w:rPr>
          <w:rFonts w:ascii="Times New Roman" w:cs="Times New Roman" w:eastAsia="Times New Roman" w:hAnsi="Times New Roman"/>
          <w:sz w:val="18"/>
          <w:szCs w:val="18"/>
          <w:color w:val="auto"/>
        </w:rPr>
        <w:t>. Except for Follow-On Investments made in accordance with Conditions 8 and 9 below,</w:t>
      </w:r>
      <w:r>
        <w:rPr>
          <w:rFonts w:ascii="Times New Roman" w:cs="Times New Roman" w:eastAsia="Times New Roman" w:hAnsi="Times New Roman"/>
          <w:sz w:val="26"/>
          <w:szCs w:val="26"/>
          <w:color w:val="auto"/>
          <w:vertAlign w:val="superscript"/>
        </w:rPr>
        <w:t>27</w:t>
      </w:r>
      <w:r>
        <w:rPr>
          <w:rFonts w:ascii="Times New Roman" w:cs="Times New Roman" w:eastAsia="Times New Roman" w:hAnsi="Times New Roman"/>
          <w:sz w:val="18"/>
          <w:szCs w:val="18"/>
          <w:color w:val="auto"/>
        </w:rPr>
        <w:t xml:space="preserve"> a Regulated Fund will not invest in reliance on the Order in any issuer in which a Related Party has an investment.</w:t>
      </w:r>
    </w:p>
    <w:p>
      <w:pPr>
        <w:spacing w:after="0" w:line="196" w:lineRule="exact"/>
        <w:rPr>
          <w:rFonts w:ascii="Times New Roman" w:cs="Times New Roman" w:eastAsia="Times New Roman" w:hAnsi="Times New Roman"/>
          <w:sz w:val="18"/>
          <w:szCs w:val="18"/>
          <w:color w:val="auto"/>
        </w:rPr>
      </w:pPr>
    </w:p>
    <w:p>
      <w:pPr>
        <w:ind w:right="40" w:firstLine="457"/>
        <w:spacing w:after="0" w:line="256" w:lineRule="auto"/>
        <w:tabs>
          <w:tab w:leader="none" w:pos="6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Same Terms and Conditions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Regulated Fund will not participate in any Potential Co-Investment Transaction unless (i) the terms, conditions, price, class of securities to be purchased, date on which the commitment is entered into and registration rights (if any) will be the same for each participating Regulated Fund, Affiliated Fund and Capital Markets Affiliate and (ii) the earliest settlement date and the latest settlement date of any participating Regulated Fund or Affiliated Fund will occur as close in time as practicable and in no event more than ten business days apart. The grant to one or more Regulated Funds or Affiliated Funds, but not the respective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5, if Condition 2(c)(iii)(B) is met.</w:t>
      </w:r>
    </w:p>
    <w:p>
      <w:pPr>
        <w:spacing w:after="0" w:line="184" w:lineRule="exact"/>
        <w:rPr>
          <w:rFonts w:ascii="Times New Roman" w:cs="Times New Roman" w:eastAsia="Times New Roman" w:hAnsi="Times New Roman"/>
          <w:sz w:val="18"/>
          <w:szCs w:val="18"/>
          <w:color w:val="auto"/>
        </w:rPr>
      </w:pPr>
    </w:p>
    <w:p>
      <w:pPr>
        <w:ind w:left="640" w:hanging="183"/>
        <w:spacing w:after="0"/>
        <w:tabs>
          <w:tab w:leader="none" w:pos="6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Dispositions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40" w:firstLine="1019"/>
        <w:spacing w:after="0" w:line="267" w:lineRule="auto"/>
        <w:tabs>
          <w:tab w:leader="none" w:pos="125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Affiliated Fund or Capital Markets Affiliate elects to sell, exchange or otherwise dispose of an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security and one or more Regulated Funds, Affiliated Funds and Capital Markets Affiliates have previously participated in a Co-Investment Transaction with respect to the issuer:</w:t>
      </w:r>
    </w:p>
    <w:p>
      <w:pPr>
        <w:spacing w:after="0" w:line="67" w:lineRule="exact"/>
        <w:rPr>
          <w:rFonts w:ascii="Times New Roman" w:cs="Times New Roman" w:eastAsia="Times New Roman" w:hAnsi="Times New Roman"/>
          <w:sz w:val="18"/>
          <w:szCs w:val="18"/>
          <w:color w:val="auto"/>
        </w:rPr>
      </w:pPr>
    </w:p>
    <w:p>
      <w:pPr>
        <w:jc w:val="both"/>
        <w:ind w:left="1020" w:right="220" w:firstLine="408"/>
        <w:spacing w:after="0" w:line="266" w:lineRule="auto"/>
        <w:tabs>
          <w:tab w:leader="none" w:pos="16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such Regulated Fund, Affiliated Fund or Carlyle Proprietary Account, or such Carlyle Broker-Dealer Subsidiary, as applicable, will notify each Regulated Fund that holds an investment in the issuer of the proposed Disposition at the earliest practical time; and</w:t>
      </w:r>
    </w:p>
    <w:p>
      <w:pPr>
        <w:spacing w:after="0" w:line="67" w:lineRule="exact"/>
        <w:rPr>
          <w:rFonts w:ascii="Times New Roman" w:cs="Times New Roman" w:eastAsia="Times New Roman" w:hAnsi="Times New Roman"/>
          <w:sz w:val="18"/>
          <w:szCs w:val="18"/>
          <w:color w:val="auto"/>
        </w:rPr>
      </w:pPr>
    </w:p>
    <w:p>
      <w:pPr>
        <w:ind w:left="1020" w:right="240" w:firstLine="408"/>
        <w:spacing w:after="0" w:line="282" w:lineRule="auto"/>
        <w:tabs>
          <w:tab w:leader="none" w:pos="169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participation by such Regulated Fund in the Disposition.</w:t>
      </w:r>
    </w:p>
    <w:p>
      <w:pPr>
        <w:spacing w:after="0" w:line="159" w:lineRule="exact"/>
        <w:rPr>
          <w:rFonts w:ascii="Times New Roman" w:cs="Times New Roman" w:eastAsia="Times New Roman" w:hAnsi="Times New Roman"/>
          <w:sz w:val="18"/>
          <w:szCs w:val="18"/>
          <w:color w:val="auto"/>
        </w:rPr>
      </w:pPr>
    </w:p>
    <w:p>
      <w:pPr>
        <w:jc w:val="both"/>
        <w:ind w:right="280" w:firstLine="1019"/>
        <w:spacing w:after="0" w:line="315" w:lineRule="auto"/>
        <w:tabs>
          <w:tab w:leader="none" w:pos="126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Same Terms and Conditions</w:t>
      </w:r>
      <w:r>
        <w:rPr>
          <w:rFonts w:ascii="Times New Roman" w:cs="Times New Roman" w:eastAsia="Times New Roman" w:hAnsi="Times New Roman"/>
          <w:sz w:val="17"/>
          <w:szCs w:val="17"/>
          <w:color w:val="auto"/>
        </w:rPr>
        <w:t>. Each Regulated Fund will have the right to participate in such Disposition on a proportionate basis,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same price and on the same terms and conditions as those applicable to the Affiliated Funds, Capital Markets Affiliates and any other Regulated Funds.</w:t>
      </w:r>
    </w:p>
    <w:p>
      <w:pPr>
        <w:spacing w:after="0" w:line="134" w:lineRule="exact"/>
        <w:rPr>
          <w:rFonts w:ascii="Times New Roman" w:cs="Times New Roman" w:eastAsia="Times New Roman" w:hAnsi="Times New Roman"/>
          <w:sz w:val="17"/>
          <w:szCs w:val="17"/>
          <w:color w:val="auto"/>
        </w:rPr>
      </w:pPr>
    </w:p>
    <w:p>
      <w:pPr>
        <w:ind w:left="1260" w:hanging="241"/>
        <w:spacing w:after="0"/>
        <w:tabs>
          <w:tab w:leader="none" w:pos="12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Board Approval Required</w:t>
      </w:r>
      <w:r>
        <w:rPr>
          <w:rFonts w:ascii="Times New Roman" w:cs="Times New Roman" w:eastAsia="Times New Roman" w:hAnsi="Times New Roman"/>
          <w:sz w:val="18"/>
          <w:szCs w:val="18"/>
          <w:color w:val="auto"/>
        </w:rPr>
        <w:t>. A Regulated Fund may participate in such a Disposition without obtaining prior approval of the Required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if:</w:t>
      </w:r>
    </w:p>
    <w:p>
      <w:pPr>
        <w:spacing w:after="0" w:line="98" w:lineRule="exact"/>
        <w:rPr>
          <w:rFonts w:ascii="Times New Roman" w:cs="Times New Roman" w:eastAsia="Times New Roman" w:hAnsi="Times New Roman"/>
          <w:sz w:val="18"/>
          <w:szCs w:val="18"/>
          <w:color w:val="auto"/>
        </w:rPr>
      </w:pPr>
    </w:p>
    <w:p>
      <w:pPr>
        <w:ind w:left="1020" w:firstLine="408"/>
        <w:spacing w:after="0" w:line="233" w:lineRule="auto"/>
        <w:tabs>
          <w:tab w:leader="none" w:pos="164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participation of each Regulated Fund, Affiliated Fund and Capital Markets Affiliate in such Disposition is proportionate to its then-current holding of the security (or securities) of the issuer that is (or are) the subject of the Disposition;</w:t>
      </w:r>
      <w:r>
        <w:rPr>
          <w:rFonts w:ascii="Times New Roman" w:cs="Times New Roman" w:eastAsia="Times New Roman" w:hAnsi="Times New Roman"/>
          <w:sz w:val="26"/>
          <w:szCs w:val="26"/>
          <w:color w:val="auto"/>
          <w:vertAlign w:val="superscript"/>
        </w:rPr>
        <w:t>28</w:t>
      </w:r>
      <w:r>
        <w:rPr>
          <w:rFonts w:ascii="Times New Roman" w:cs="Times New Roman" w:eastAsia="Times New Roman" w:hAnsi="Times New Roman"/>
          <w:sz w:val="18"/>
          <w:szCs w:val="18"/>
          <w:color w:val="auto"/>
        </w:rPr>
        <w:t xml:space="preserve"> (B) the Board of the Regulated Fund has approved as being in the best interests of the Regulated Fund the ability to participate in such Dispositions on a pro rata basis (as described in greater detail in the Application); and (C) the Board of the Regulated Fund is provided on a quarterly basis with a list of all Dispositions made in accordance with this Condition;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88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79" w:lineRule="exact"/>
        <w:rPr>
          <w:sz w:val="20"/>
          <w:szCs w:val="20"/>
          <w:color w:val="auto"/>
        </w:rPr>
      </w:pPr>
    </w:p>
    <w:p>
      <w:pPr>
        <w:ind w:left="460" w:hanging="452"/>
        <w:spacing w:after="0"/>
        <w:tabs>
          <w:tab w:leader="none" w:pos="460" w:val="left"/>
        </w:tabs>
        <w:numPr>
          <w:ilvl w:val="0"/>
          <w:numId w:val="7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exception applies only to Follow-On Investments by a Regulated Fund in issuers in which that Regulated Fund already holds investments.</w:t>
      </w:r>
    </w:p>
    <w:p>
      <w:pPr>
        <w:spacing w:after="0" w:line="1" w:lineRule="exact"/>
        <w:rPr>
          <w:rFonts w:ascii="Times New Roman" w:cs="Times New Roman" w:eastAsia="Times New Roman" w:hAnsi="Times New Roman"/>
          <w:sz w:val="27"/>
          <w:szCs w:val="27"/>
          <w:color w:val="auto"/>
          <w:vertAlign w:val="superscript"/>
        </w:rPr>
      </w:pPr>
    </w:p>
    <w:p>
      <w:pPr>
        <w:ind w:left="460" w:right="520" w:hanging="452"/>
        <w:spacing w:after="0" w:line="199" w:lineRule="auto"/>
        <w:tabs>
          <w:tab w:leader="none" w:pos="460" w:val="left"/>
        </w:tabs>
        <w:numPr>
          <w:ilvl w:val="0"/>
          <w:numId w:val="7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any Disposition, proportionality will be measured by each participating Regulated Fund’s, Affiliated Fund’s and Capital Markets Affiliates’ outstanding investment in the security in question immediately preceding the Disposition.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270" w:right="339" w:bottom="1440" w:gutter="0" w:footer="0" w:header="0"/>
        </w:sectPr>
      </w:pPr>
    </w:p>
    <w:bookmarkStart w:id="33" w:name="page34"/>
    <w:bookmarkEnd w:id="33"/>
    <w:p>
      <w:pPr>
        <w:jc w:val="both"/>
        <w:ind w:left="1020" w:right="280" w:firstLine="408"/>
        <w:spacing w:after="0" w:line="266" w:lineRule="auto"/>
        <w:tabs>
          <w:tab w:leader="none" w:pos="169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security is a Tradable Security and (A) the Disposition is not to the issuer or any affiliated person of the issuer; and (B) the security is sold for cash in a transaction in which the only term negotiated by or on behalf of the participating Regulated Funds, Affiliated Funds and Capital Markets Affiliates is price.</w:t>
      </w:r>
    </w:p>
    <w:p>
      <w:pPr>
        <w:spacing w:after="0" w:line="173" w:lineRule="exact"/>
        <w:rPr>
          <w:rFonts w:ascii="Times New Roman" w:cs="Times New Roman" w:eastAsia="Times New Roman" w:hAnsi="Times New Roman"/>
          <w:sz w:val="18"/>
          <w:szCs w:val="18"/>
          <w:color w:val="auto"/>
        </w:rPr>
      </w:pPr>
    </w:p>
    <w:p>
      <w:pPr>
        <w:jc w:val="both"/>
        <w:ind w:firstLine="1019"/>
        <w:spacing w:after="0" w:line="267" w:lineRule="auto"/>
        <w:tabs>
          <w:tab w:leader="none" w:pos="126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Eligible Directors and the Regulated Fund will participate in such Disposition solely to the extent that a Required Majority determines that it is in the Regulated Fund’s best interests.</w:t>
      </w:r>
    </w:p>
    <w:p>
      <w:pPr>
        <w:spacing w:after="0" w:line="32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Dispositions.</w:t>
      </w:r>
    </w:p>
    <w:p>
      <w:pPr>
        <w:spacing w:after="0" w:line="115"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Affiliated Fund or Capital Markets Affiliate elects to sell, exchange or otherwise dispose of a</w:t>
      </w:r>
    </w:p>
    <w:p>
      <w:pPr>
        <w:spacing w:after="0" w:line="2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Pre-Boarding Investment in a Potential Co-Investment Transaction and the Regulated Funds, Affiliated Funds and Capital Markets Affiliates have not previously participated in a Co-Investment Transaction with respect to the issuer:</w:t>
      </w:r>
    </w:p>
    <w:p>
      <w:pPr>
        <w:spacing w:after="0" w:line="73" w:lineRule="exact"/>
        <w:rPr>
          <w:sz w:val="20"/>
          <w:szCs w:val="20"/>
          <w:color w:val="auto"/>
        </w:rPr>
      </w:pPr>
    </w:p>
    <w:p>
      <w:pPr>
        <w:jc w:val="both"/>
        <w:ind w:left="1020" w:right="180" w:firstLine="408"/>
        <w:spacing w:after="0" w:line="312" w:lineRule="auto"/>
        <w:tabs>
          <w:tab w:leader="none" w:pos="1644"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Adviser to such Regulated Fund, Affiliated Fund or Carlyle Proprietary Account, or such Carlyle Broker-Dealer Subsidiary, as applicable, will notify each Regulated Fund that holds an investment in the issuer of the proposed Disposition at the earliest practical time;</w:t>
      </w:r>
    </w:p>
    <w:p>
      <w:pPr>
        <w:spacing w:after="0" w:line="31" w:lineRule="exact"/>
        <w:rPr>
          <w:rFonts w:ascii="Times New Roman" w:cs="Times New Roman" w:eastAsia="Times New Roman" w:hAnsi="Times New Roman"/>
          <w:sz w:val="17"/>
          <w:szCs w:val="17"/>
          <w:color w:val="auto"/>
        </w:rPr>
      </w:pPr>
    </w:p>
    <w:p>
      <w:pPr>
        <w:ind w:left="1020" w:right="200" w:firstLine="408"/>
        <w:spacing w:after="0" w:line="282" w:lineRule="auto"/>
        <w:tabs>
          <w:tab w:leader="none" w:pos="169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participation by such Regulated Fund in the Disposition; and</w:t>
      </w:r>
    </w:p>
    <w:p>
      <w:pPr>
        <w:spacing w:after="0" w:line="53" w:lineRule="exact"/>
        <w:rPr>
          <w:rFonts w:ascii="Times New Roman" w:cs="Times New Roman" w:eastAsia="Times New Roman" w:hAnsi="Times New Roman"/>
          <w:sz w:val="18"/>
          <w:szCs w:val="18"/>
          <w:color w:val="auto"/>
        </w:rPr>
      </w:pPr>
    </w:p>
    <w:p>
      <w:pPr>
        <w:ind w:left="1020" w:right="60" w:firstLine="408"/>
        <w:spacing w:after="0" w:line="266" w:lineRule="auto"/>
        <w:tabs>
          <w:tab w:leader="none" w:pos="174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Affiliated Funds and Capital Markets Affiliates, including the terms of such investments and how they were made, that is necessary for the Required Majority to make the findings required by this Condition.</w:t>
      </w:r>
    </w:p>
    <w:p>
      <w:pPr>
        <w:spacing w:after="0" w:line="173" w:lineRule="exact"/>
        <w:rPr>
          <w:rFonts w:ascii="Times New Roman" w:cs="Times New Roman" w:eastAsia="Times New Roman" w:hAnsi="Times New Roman"/>
          <w:sz w:val="18"/>
          <w:szCs w:val="18"/>
          <w:color w:val="auto"/>
        </w:rPr>
      </w:pPr>
    </w:p>
    <w:p>
      <w:pPr>
        <w:ind w:right="120" w:firstLine="1019"/>
        <w:spacing w:after="0" w:line="284" w:lineRule="auto"/>
        <w:tabs>
          <w:tab w:leader="none" w:pos="12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Board Approval</w:t>
      </w:r>
      <w:r>
        <w:rPr>
          <w:rFonts w:ascii="Times New Roman" w:cs="Times New Roman" w:eastAsia="Times New Roman" w:hAnsi="Times New Roman"/>
          <w:sz w:val="18"/>
          <w:szCs w:val="18"/>
          <w:color w:val="auto"/>
        </w:rPr>
        <w:t>. The Adviser will provide its written recommendation as to the Regulated Fund’s participation to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Regulated Fund will participate in such Disposition solely to the extent that a Required Majority determines that:</w:t>
      </w:r>
    </w:p>
    <w:p>
      <w:pPr>
        <w:spacing w:after="0" w:line="52"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complies with Condition 2(c)(i), (ii), (iii)(A), and (iv).</w:t>
      </w:r>
    </w:p>
    <w:p>
      <w:pPr>
        <w:spacing w:after="0" w:line="117" w:lineRule="exact"/>
        <w:rPr>
          <w:rFonts w:ascii="Times New Roman" w:cs="Times New Roman" w:eastAsia="Times New Roman" w:hAnsi="Times New Roman"/>
          <w:sz w:val="18"/>
          <w:szCs w:val="18"/>
          <w:color w:val="auto"/>
        </w:rPr>
      </w:pPr>
    </w:p>
    <w:p>
      <w:pPr>
        <w:ind w:left="1020" w:right="500" w:firstLine="408"/>
        <w:spacing w:after="0" w:line="282" w:lineRule="auto"/>
        <w:tabs>
          <w:tab w:leader="none" w:pos="169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and holding of the Pre-Boarding Investments were not prohibited by Section 57 or Rule 17d-1, as applicable, and records the basis for the finding in the Board minutes.</w:t>
      </w:r>
    </w:p>
    <w:p>
      <w:pPr>
        <w:spacing w:after="0" w:line="159" w:lineRule="exact"/>
        <w:rPr>
          <w:rFonts w:ascii="Times New Roman" w:cs="Times New Roman" w:eastAsia="Times New Roman" w:hAnsi="Times New Roman"/>
          <w:sz w:val="18"/>
          <w:szCs w:val="18"/>
          <w:color w:val="auto"/>
        </w:rPr>
      </w:pPr>
    </w:p>
    <w:p>
      <w:pPr>
        <w:ind w:left="1260" w:hanging="241"/>
        <w:spacing w:after="0"/>
        <w:tabs>
          <w:tab w:leader="none" w:pos="12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Requirements: </w:t>
      </w:r>
      <w:r>
        <w:rPr>
          <w:rFonts w:ascii="Times New Roman" w:cs="Times New Roman" w:eastAsia="Times New Roman" w:hAnsi="Times New Roman"/>
          <w:sz w:val="18"/>
          <w:szCs w:val="18"/>
          <w:color w:val="auto"/>
        </w:rPr>
        <w:t>The Disposition may only be completed in reliance on the Order if:</w:t>
      </w:r>
    </w:p>
    <w:p>
      <w:pPr>
        <w:spacing w:after="0" w:line="117" w:lineRule="exact"/>
        <w:rPr>
          <w:rFonts w:ascii="Times New Roman" w:cs="Times New Roman" w:eastAsia="Times New Roman" w:hAnsi="Times New Roman"/>
          <w:sz w:val="18"/>
          <w:szCs w:val="18"/>
          <w:color w:val="auto"/>
        </w:rPr>
      </w:pPr>
    </w:p>
    <w:p>
      <w:pPr>
        <w:jc w:val="both"/>
        <w:ind w:left="1020" w:right="280" w:firstLine="408"/>
        <w:spacing w:after="0" w:line="267" w:lineRule="auto"/>
        <w:tabs>
          <w:tab w:leader="none" w:pos="164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Same Terms and Conditions</w:t>
      </w:r>
      <w:r>
        <w:rPr>
          <w:rFonts w:ascii="Times New Roman" w:cs="Times New Roman" w:eastAsia="Times New Roman" w:hAnsi="Times New Roman"/>
          <w:sz w:val="18"/>
          <w:szCs w:val="18"/>
          <w:color w:val="auto"/>
        </w:rPr>
        <w:t>. Each Regulated Fund has the right to participate in such Disposition on a proportionate basis,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price and on the same terms and Conditions as those applicable to the Affiliated Funds, the Capital Markets Affiliates and any other Regulated Funds;</w:t>
      </w:r>
    </w:p>
    <w:p>
      <w:pPr>
        <w:spacing w:after="0" w:line="65" w:lineRule="exact"/>
        <w:rPr>
          <w:rFonts w:ascii="Times New Roman" w:cs="Times New Roman" w:eastAsia="Times New Roman" w:hAnsi="Times New Roman"/>
          <w:sz w:val="18"/>
          <w:szCs w:val="18"/>
          <w:color w:val="auto"/>
        </w:rPr>
      </w:pPr>
    </w:p>
    <w:p>
      <w:pPr>
        <w:ind w:left="1020" w:right="200" w:firstLine="408"/>
        <w:spacing w:after="0" w:line="284" w:lineRule="auto"/>
        <w:tabs>
          <w:tab w:leader="none" w:pos="169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Regulated Funds’ and Capital Markets Affiliates’ investments in the issuer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Pre-Boarding Investments;</w:t>
      </w:r>
    </w:p>
    <w:p>
      <w:pPr>
        <w:spacing w:after="0" w:line="50" w:lineRule="exact"/>
        <w:rPr>
          <w:rFonts w:ascii="Times New Roman" w:cs="Times New Roman" w:eastAsia="Times New Roman" w:hAnsi="Times New Roman"/>
          <w:sz w:val="18"/>
          <w:szCs w:val="18"/>
          <w:color w:val="auto"/>
        </w:rPr>
      </w:pPr>
    </w:p>
    <w:p>
      <w:pPr>
        <w:ind w:left="1020" w:right="220" w:firstLine="408"/>
        <w:spacing w:after="0" w:line="284" w:lineRule="auto"/>
        <w:tabs>
          <w:tab w:leader="none" w:pos="174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were not prohibited by Section 57 (as modified by Rule 57b-1) or Rule 17d-1, as applicable;</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270" w:right="379" w:bottom="1440" w:gutter="0" w:footer="0" w:header="0"/>
        </w:sectPr>
      </w:pPr>
    </w:p>
    <w:bookmarkStart w:id="34" w:name="page35"/>
    <w:bookmarkEnd w:id="34"/>
    <w:p>
      <w:pPr>
        <w:ind w:left="1460" w:right="120" w:firstLine="399"/>
        <w:spacing w:after="0" w:line="241" w:lineRule="auto"/>
        <w:tabs>
          <w:tab w:leader="none" w:pos="2155"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Multiple Classes of Securities. </w:t>
      </w:r>
      <w:r>
        <w:rPr>
          <w:rFonts w:ascii="Times New Roman" w:cs="Times New Roman" w:eastAsia="Times New Roman" w:hAnsi="Times New Roman"/>
          <w:sz w:val="18"/>
          <w:szCs w:val="18"/>
          <w:color w:val="auto"/>
        </w:rPr>
        <w:t>All Regulated Funds, Affiliated Funds and Capital Markets Affiliates that hold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the issuer immediately before the time of completion of the Co-Investment Transaction hold the same security or securities of the issuer. For the purpose of determining whether the Regulated Funds, Affiliated Funds and Capital Markets Affiliates hold the same security or securities, they may disregard any security held by some but not all of them if, prior to relying on the Order, the Required Majority is presented with all information necessary to make a finding, and finds, that: (x) any Regulated Fund’s, Affiliated Fund’s or Capital Markets Affiliates’ holding of a different class of securities (including for this purpose a security with a different maturity date) is immaterial</w:t>
      </w:r>
      <w:r>
        <w:rPr>
          <w:rFonts w:ascii="Times New Roman" w:cs="Times New Roman" w:eastAsia="Times New Roman" w:hAnsi="Times New Roman"/>
          <w:sz w:val="26"/>
          <w:szCs w:val="26"/>
          <w:color w:val="auto"/>
          <w:vertAlign w:val="superscript"/>
        </w:rPr>
        <w:t>29</w:t>
      </w:r>
      <w:r>
        <w:rPr>
          <w:rFonts w:ascii="Times New Roman" w:cs="Times New Roman" w:eastAsia="Times New Roman" w:hAnsi="Times New Roman"/>
          <w:sz w:val="18"/>
          <w:szCs w:val="18"/>
          <w:color w:val="auto"/>
        </w:rPr>
        <w:t xml:space="preserve">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89" w:lineRule="exact"/>
        <w:rPr>
          <w:rFonts w:ascii="Times New Roman" w:cs="Times New Roman" w:eastAsia="Times New Roman" w:hAnsi="Times New Roman"/>
          <w:sz w:val="18"/>
          <w:szCs w:val="18"/>
          <w:color w:val="auto"/>
        </w:rPr>
      </w:pPr>
    </w:p>
    <w:p>
      <w:pPr>
        <w:ind w:left="1460" w:right="20" w:firstLine="399"/>
        <w:spacing w:after="0" w:line="267" w:lineRule="auto"/>
        <w:tabs>
          <w:tab w:leader="none" w:pos="2105" w:val="left"/>
        </w:tabs>
        <w:numPr>
          <w:ilvl w:val="3"/>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control</w:t>
      </w:r>
      <w:r>
        <w:rPr>
          <w:rFonts w:ascii="Times New Roman" w:cs="Times New Roman" w:eastAsia="Times New Roman" w:hAnsi="Times New Roman"/>
          <w:sz w:val="18"/>
          <w:szCs w:val="18"/>
          <w:color w:val="auto"/>
        </w:rPr>
        <w:t>. The Affiliated Funds, the Capital Markets Affiliates, the other Regulated Funds and their affiliated persons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meaning of Section 2(a)(3)(C) of the Act), individually or in the aggregate, do not control the issuer of the securities (within the meaning of Section 2(a)(9) of the Act).</w:t>
      </w:r>
    </w:p>
    <w:p>
      <w:pPr>
        <w:spacing w:after="0" w:line="175" w:lineRule="exact"/>
        <w:rPr>
          <w:rFonts w:ascii="Times New Roman" w:cs="Times New Roman" w:eastAsia="Times New Roman" w:hAnsi="Times New Roman"/>
          <w:sz w:val="18"/>
          <w:szCs w:val="18"/>
          <w:color w:val="auto"/>
        </w:rPr>
      </w:pPr>
    </w:p>
    <w:p>
      <w:pPr>
        <w:ind w:left="640" w:hanging="183"/>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 Review Follow-Ons.</w:t>
      </w:r>
    </w:p>
    <w:p>
      <w:pPr>
        <w:spacing w:after="0" w:line="115" w:lineRule="exact"/>
        <w:rPr>
          <w:rFonts w:ascii="Times New Roman" w:cs="Times New Roman" w:eastAsia="Times New Roman" w:hAnsi="Times New Roman"/>
          <w:sz w:val="18"/>
          <w:szCs w:val="18"/>
          <w:color w:val="auto"/>
        </w:rPr>
      </w:pPr>
    </w:p>
    <w:p>
      <w:pPr>
        <w:jc w:val="both"/>
        <w:ind w:right="40" w:firstLine="1019"/>
        <w:spacing w:after="0" w:line="267" w:lineRule="auto"/>
        <w:tabs>
          <w:tab w:leader="none" w:pos="125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Affiliated Fund or Capital Markets Affiliate desires to make a Follow-On Investment in an issuer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Regulated Funds, Affiliated Funds and Capital Markets Affiliates holding investments in the issuer previously participated in a Co-Investment Transaction with respect to the issuer:</w:t>
      </w:r>
    </w:p>
    <w:p>
      <w:pPr>
        <w:spacing w:after="0" w:line="67" w:lineRule="exact"/>
        <w:rPr>
          <w:rFonts w:ascii="Times New Roman" w:cs="Times New Roman" w:eastAsia="Times New Roman" w:hAnsi="Times New Roman"/>
          <w:sz w:val="18"/>
          <w:szCs w:val="18"/>
          <w:color w:val="auto"/>
        </w:rPr>
      </w:pPr>
    </w:p>
    <w:p>
      <w:pPr>
        <w:ind w:left="1020" w:right="40" w:firstLine="408"/>
        <w:spacing w:after="0" w:line="266" w:lineRule="auto"/>
        <w:tabs>
          <w:tab w:leader="none" w:pos="164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Affiliated Fund or Carlyle Proprietary Account, or such Carlyle Broker-Dealer Subsidiary, as applicable, will notify each Regulated Fund that holds securities of the portfolio company of the proposed transaction at the earliest practical time; and</w:t>
      </w:r>
    </w:p>
    <w:p>
      <w:pPr>
        <w:spacing w:after="0" w:line="67" w:lineRule="exact"/>
        <w:rPr>
          <w:rFonts w:ascii="Times New Roman" w:cs="Times New Roman" w:eastAsia="Times New Roman" w:hAnsi="Times New Roman"/>
          <w:sz w:val="18"/>
          <w:szCs w:val="18"/>
          <w:color w:val="auto"/>
        </w:rPr>
      </w:pPr>
    </w:p>
    <w:p>
      <w:pPr>
        <w:ind w:left="1020" w:right="460" w:firstLine="408"/>
        <w:spacing w:after="0" w:line="282" w:lineRule="auto"/>
        <w:tabs>
          <w:tab w:leader="none" w:pos="169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the proposed participation, including the amount of the proposed investment, by such Regulated Fund.</w:t>
      </w:r>
    </w:p>
    <w:p>
      <w:pPr>
        <w:spacing w:after="0" w:line="159" w:lineRule="exact"/>
        <w:rPr>
          <w:rFonts w:ascii="Times New Roman" w:cs="Times New Roman" w:eastAsia="Times New Roman" w:hAnsi="Times New Roman"/>
          <w:sz w:val="18"/>
          <w:szCs w:val="18"/>
          <w:color w:val="auto"/>
        </w:rPr>
      </w:pPr>
    </w:p>
    <w:p>
      <w:pPr>
        <w:ind w:right="320" w:firstLine="1019"/>
        <w:spacing w:after="0" w:line="284" w:lineRule="auto"/>
        <w:tabs>
          <w:tab w:leader="none" w:pos="126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Board Approval Required</w:t>
      </w:r>
      <w:r>
        <w:rPr>
          <w:rFonts w:ascii="Times New Roman" w:cs="Times New Roman" w:eastAsia="Times New Roman" w:hAnsi="Times New Roman"/>
          <w:sz w:val="18"/>
          <w:szCs w:val="18"/>
          <w:color w:val="auto"/>
        </w:rPr>
        <w:t>. A Regulated Fund may participate in the Follow-On Investment without obtaining prior approval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Majority if:</w:t>
      </w:r>
    </w:p>
    <w:p>
      <w:pPr>
        <w:spacing w:after="0" w:line="52" w:lineRule="exact"/>
        <w:rPr>
          <w:rFonts w:ascii="Times New Roman" w:cs="Times New Roman" w:eastAsia="Times New Roman" w:hAnsi="Times New Roman"/>
          <w:sz w:val="18"/>
          <w:szCs w:val="18"/>
          <w:color w:val="auto"/>
        </w:rPr>
      </w:pPr>
    </w:p>
    <w:p>
      <w:pPr>
        <w:ind w:left="1020" w:firstLine="408"/>
        <w:spacing w:after="0" w:line="230" w:lineRule="auto"/>
        <w:tabs>
          <w:tab w:leader="none" w:pos="1644"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proposed participation of each Regulated Fund, each Affiliated Fund and each Capital Markets Affiliate in such investment is proportionate to its outstanding investments in the issuer or the security at issue, as appropriate,</w:t>
      </w:r>
      <w:r>
        <w:rPr>
          <w:rFonts w:ascii="Times New Roman" w:cs="Times New Roman" w:eastAsia="Times New Roman" w:hAnsi="Times New Roman"/>
          <w:sz w:val="26"/>
          <w:szCs w:val="26"/>
          <w:color w:val="auto"/>
          <w:vertAlign w:val="superscript"/>
        </w:rPr>
        <w:t>30</w:t>
      </w:r>
      <w:r>
        <w:rPr>
          <w:rFonts w:ascii="Times New Roman" w:cs="Times New Roman" w:eastAsia="Times New Roman" w:hAnsi="Times New Roman"/>
          <w:sz w:val="18"/>
          <w:szCs w:val="18"/>
          <w:color w:val="auto"/>
        </w:rPr>
        <w:t xml:space="preserve"> immediately preceding the Follow-On Investment; and (B) the Board of the Regulated Fund has approved as being in the best interests of the Regulated Fund the ability to participate in Follow-On Investments on a pro rata basis (as described in greater detail in this Application);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86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1" w:lineRule="exact"/>
        <w:rPr>
          <w:sz w:val="20"/>
          <w:szCs w:val="20"/>
          <w:color w:val="auto"/>
        </w:rPr>
      </w:pPr>
    </w:p>
    <w:p>
      <w:pPr>
        <w:ind w:left="460" w:right="80" w:hanging="452"/>
        <w:spacing w:after="0" w:line="220" w:lineRule="auto"/>
        <w:tabs>
          <w:tab w:leader="none" w:pos="460"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determining whether a holding is “immaterial” for purposes of the Order, the Required Majority will consider whether the nature and extent of the interest in the transaction or arrangement is sufficiently small that a reasonable person would not believe that the interest affected the determination of whether to enter into the transaction or arrangement or the terms of the transaction or arrangement.</w:t>
      </w:r>
    </w:p>
    <w:p>
      <w:pPr>
        <w:spacing w:after="0" w:line="2" w:lineRule="exact"/>
        <w:rPr>
          <w:rFonts w:ascii="Times New Roman" w:cs="Times New Roman" w:eastAsia="Times New Roman" w:hAnsi="Times New Roman"/>
          <w:sz w:val="27"/>
          <w:szCs w:val="27"/>
          <w:color w:val="auto"/>
          <w:vertAlign w:val="superscript"/>
        </w:rPr>
      </w:pPr>
    </w:p>
    <w:p>
      <w:pPr>
        <w:ind w:left="460" w:right="20" w:hanging="452"/>
        <w:spacing w:after="0" w:line="233" w:lineRule="auto"/>
        <w:tabs>
          <w:tab w:leader="none" w:pos="460" w:val="left"/>
        </w:tabs>
        <w:numPr>
          <w:ilvl w:val="0"/>
          <w:numId w:val="8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To the extent that a Follow-On Investment opportunity is in a security or arises in respect of a security held by the participating Regulated Funds, Affiliated Funds and Capital Markets Affiliates, proportionality will be measured by each participating Regulated Fund’s, Affiliated Fund’s and Capital Markets Affiliate’s outstanding investment in the security in question immediately preceding the Follow-On Investment using the most recent available valuation thereof. To the extent that a Follow-On Investment opportunity relates to an opportunity to invest in a security that is not in respect of any security held by any of the participating Regulated Funds, Affiliated Funds or Capital Markets Affiliates, proportionality will be measured by each participating Regulated Fund’s, Affiliated Fund’s and Capital Markets Affiliate’s outstanding investment in the issuer immediately preceding the Follow-On Investment using the most recent available valuation thereof.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268" w:right="339" w:bottom="1440" w:gutter="0" w:footer="0" w:header="0"/>
        </w:sectPr>
      </w:pPr>
    </w:p>
    <w:bookmarkStart w:id="35" w:name="page36"/>
    <w:bookmarkEnd w:id="35"/>
    <w:p>
      <w:pPr>
        <w:ind w:left="1640" w:hanging="272"/>
        <w:spacing w:after="0"/>
        <w:tabs>
          <w:tab w:leader="none" w:pos="16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is a Non-Negotiated Follow-On Investment.</w:t>
      </w:r>
    </w:p>
    <w:p>
      <w:pPr>
        <w:spacing w:after="0" w:line="223" w:lineRule="exact"/>
        <w:rPr>
          <w:rFonts w:ascii="Times New Roman" w:cs="Times New Roman" w:eastAsia="Times New Roman" w:hAnsi="Times New Roman"/>
          <w:sz w:val="18"/>
          <w:szCs w:val="18"/>
          <w:color w:val="auto"/>
        </w:rPr>
      </w:pPr>
    </w:p>
    <w:p>
      <w:pPr>
        <w:ind w:left="-60" w:firstLine="1019"/>
        <w:spacing w:after="0" w:line="258" w:lineRule="auto"/>
        <w:tabs>
          <w:tab w:leader="none" w:pos="11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Standard Board Approval</w:t>
      </w:r>
      <w:r>
        <w:rPr>
          <w:rFonts w:ascii="Times New Roman" w:cs="Times New Roman" w:eastAsia="Times New Roman" w:hAnsi="Times New Roman"/>
          <w:sz w:val="18"/>
          <w:szCs w:val="18"/>
          <w:color w:val="auto"/>
        </w:rPr>
        <w:t>. In all other cases, the Adviser will provide its written recommendation as to the Regulated Fund’s participation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Eligible Directors and the Regulated Fund will participate in such Follow-On Investment solely to the extent that a Required Majority makes the determinations set forth in Condition 2(c). If the only previous Co-Investment Transaction with respect to the issuer was an Enhanced Review Disposition, the Eligible Directors must complete this review of the proposed Follow-On Investment both on a stand-alone basis and together with the Pre-Boarding Investments in relation to the total economic exposure and other terms of the investment.</w:t>
      </w:r>
    </w:p>
    <w:p>
      <w:pPr>
        <w:spacing w:after="0" w:line="183" w:lineRule="exact"/>
        <w:rPr>
          <w:rFonts w:ascii="Times New Roman" w:cs="Times New Roman" w:eastAsia="Times New Roman" w:hAnsi="Times New Roman"/>
          <w:sz w:val="18"/>
          <w:szCs w:val="18"/>
          <w:color w:val="auto"/>
        </w:rPr>
      </w:pPr>
    </w:p>
    <w:p>
      <w:pPr>
        <w:ind w:left="1220" w:hanging="261"/>
        <w:spacing w:after="0"/>
        <w:tabs>
          <w:tab w:leader="none" w:pos="12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If, with respect to any such Follow-On Investment:</w:t>
      </w:r>
    </w:p>
    <w:p>
      <w:pPr>
        <w:spacing w:after="0" w:line="119" w:lineRule="exact"/>
        <w:rPr>
          <w:rFonts w:ascii="Times New Roman" w:cs="Times New Roman" w:eastAsia="Times New Roman" w:hAnsi="Times New Roman"/>
          <w:sz w:val="18"/>
          <w:szCs w:val="18"/>
          <w:color w:val="auto"/>
        </w:rPr>
      </w:pPr>
    </w:p>
    <w:p>
      <w:pPr>
        <w:ind w:left="960" w:right="480" w:firstLine="408"/>
        <w:spacing w:after="0" w:line="266" w:lineRule="auto"/>
        <w:tabs>
          <w:tab w:leader="none" w:pos="1584"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proposed to be made available to any Regulated Fund is not based on the Regulated Funds’, the Affiliated Funds’ and the Capital Markets Affiliates’ outstanding investments in the issuer or the security at issue, as appropriate, immediately preceding the Follow-On Investment; and</w:t>
      </w:r>
    </w:p>
    <w:p>
      <w:pPr>
        <w:spacing w:after="0" w:line="68" w:lineRule="exact"/>
        <w:rPr>
          <w:sz w:val="20"/>
          <w:szCs w:val="20"/>
          <w:color w:val="auto"/>
        </w:rPr>
      </w:pPr>
    </w:p>
    <w:p>
      <w:pPr>
        <w:ind w:left="960" w:right="60" w:firstLine="408"/>
        <w:spacing w:after="0" w:line="258" w:lineRule="auto"/>
        <w:tabs>
          <w:tab w:leader="none" w:pos="1634"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and Carlyle Proprietary Accounts and the amount proposed to be invested in the Follow-On Investment by any participating Carlyle Broker-Dealer Subsidiaries, collectively, exceeds the amount of the investment opportunity, then the Follow-On Investment opportunity will be allocated among them pro rata based on the size of the Internal Orders, as described in Section III.A.1.b above.</w:t>
      </w:r>
    </w:p>
    <w:p>
      <w:pPr>
        <w:spacing w:after="0" w:line="181" w:lineRule="exact"/>
        <w:rPr>
          <w:rFonts w:ascii="Times New Roman" w:cs="Times New Roman" w:eastAsia="Times New Roman" w:hAnsi="Times New Roman"/>
          <w:sz w:val="18"/>
          <w:szCs w:val="18"/>
          <w:color w:val="auto"/>
        </w:rPr>
      </w:pPr>
    </w:p>
    <w:p>
      <w:pPr>
        <w:ind w:left="-60" w:right="700" w:firstLine="1019"/>
        <w:spacing w:after="0" w:line="284" w:lineRule="auto"/>
        <w:tabs>
          <w:tab w:leader="none" w:pos="119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for all purposes and subject to the other Conditions set forth in this Application.</w:t>
      </w:r>
    </w:p>
    <w:p>
      <w:pPr>
        <w:spacing w:after="0" w:line="160" w:lineRule="exact"/>
        <w:rPr>
          <w:rFonts w:ascii="Times New Roman" w:cs="Times New Roman" w:eastAsia="Times New Roman" w:hAnsi="Times New Roman"/>
          <w:sz w:val="18"/>
          <w:szCs w:val="18"/>
          <w:color w:val="auto"/>
        </w:rPr>
      </w:pPr>
    </w:p>
    <w:p>
      <w:pPr>
        <w:ind w:left="580" w:hanging="183"/>
        <w:spacing w:after="0"/>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Enhanced Review Follow-Ons.</w:t>
      </w:r>
    </w:p>
    <w:p>
      <w:pPr>
        <w:spacing w:after="0" w:line="115" w:lineRule="exact"/>
        <w:rPr>
          <w:rFonts w:ascii="Times New Roman" w:cs="Times New Roman" w:eastAsia="Times New Roman" w:hAnsi="Times New Roman"/>
          <w:sz w:val="18"/>
          <w:szCs w:val="18"/>
          <w:color w:val="auto"/>
        </w:rPr>
      </w:pPr>
    </w:p>
    <w:p>
      <w:pPr>
        <w:jc w:val="both"/>
        <w:ind w:left="-60" w:right="20" w:firstLine="1019"/>
        <w:spacing w:after="0" w:line="267" w:lineRule="auto"/>
        <w:tabs>
          <w:tab w:leader="none" w:pos="119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If any Regulated Fund, Affiliated Fund or Capital Markets Affiliate desires to make a Follow-On Investment in an issuer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Potential Co-Investment Transaction and the Regulated Funds, Affiliated Funds and Capital Markets Affiliates holding investments in the issuer have not previously participated in a Co-Investment Transaction with respect to the issuer:</w:t>
      </w:r>
    </w:p>
    <w:p>
      <w:pPr>
        <w:spacing w:after="0" w:line="67" w:lineRule="exact"/>
        <w:rPr>
          <w:rFonts w:ascii="Times New Roman" w:cs="Times New Roman" w:eastAsia="Times New Roman" w:hAnsi="Times New Roman"/>
          <w:sz w:val="18"/>
          <w:szCs w:val="18"/>
          <w:color w:val="auto"/>
        </w:rPr>
      </w:pPr>
    </w:p>
    <w:p>
      <w:pPr>
        <w:ind w:left="960" w:firstLine="408"/>
        <w:spacing w:after="0" w:line="266" w:lineRule="auto"/>
        <w:tabs>
          <w:tab w:leader="none" w:pos="1584"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such Regulated Fund, Affiliated Fund or Carlyle Proprietary Account, or such Carlyle Broker-Dealer Subsidiary, as applicable, will notify each Regulated Fund that holds securities of the portfolio company of the proposed transaction at the earliest practical time;</w:t>
      </w:r>
    </w:p>
    <w:p>
      <w:pPr>
        <w:spacing w:after="0" w:line="68" w:lineRule="exact"/>
        <w:rPr>
          <w:sz w:val="20"/>
          <w:szCs w:val="20"/>
          <w:color w:val="auto"/>
        </w:rPr>
      </w:pPr>
    </w:p>
    <w:p>
      <w:pPr>
        <w:ind w:left="960" w:right="420" w:firstLine="408"/>
        <w:spacing w:after="0" w:line="282" w:lineRule="auto"/>
        <w:tabs>
          <w:tab w:leader="none" w:pos="163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to each Regulated Fund that holds an investment in the issuer will formulate a recommendation as to the proposed participation, including the amount of the proposed investment, by such Regulated Fund; and</w:t>
      </w:r>
    </w:p>
    <w:p>
      <w:pPr>
        <w:spacing w:after="0" w:line="53" w:lineRule="exact"/>
        <w:rPr>
          <w:rFonts w:ascii="Times New Roman" w:cs="Times New Roman" w:eastAsia="Times New Roman" w:hAnsi="Times New Roman"/>
          <w:sz w:val="18"/>
          <w:szCs w:val="18"/>
          <w:color w:val="auto"/>
        </w:rPr>
      </w:pPr>
    </w:p>
    <w:p>
      <w:pPr>
        <w:ind w:left="960" w:right="60" w:firstLine="408"/>
        <w:spacing w:after="0" w:line="266" w:lineRule="auto"/>
        <w:tabs>
          <w:tab w:leader="none" w:pos="168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will provide to the Board of each Regulated Fund that holds an investment in the issuer all information relating to the existing investments in the issuer of the Regulated Funds, Affiliated Funds and Capital Markets Affiliates, including the terms of such investments and how they were made, that is necessary for the Required Majority to make the findings required by this Condition.</w:t>
      </w:r>
    </w:p>
    <w:p>
      <w:pPr>
        <w:spacing w:after="0" w:line="174" w:lineRule="exact"/>
        <w:rPr>
          <w:sz w:val="20"/>
          <w:szCs w:val="20"/>
          <w:color w:val="auto"/>
        </w:rPr>
      </w:pPr>
    </w:p>
    <w:p>
      <w:pPr>
        <w:ind w:left="-60" w:right="120" w:firstLine="1019"/>
        <w:spacing w:after="0" w:line="267" w:lineRule="auto"/>
        <w:tabs>
          <w:tab w:leader="none" w:pos="120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Board Approval</w:t>
      </w:r>
      <w:r>
        <w:rPr>
          <w:rFonts w:ascii="Times New Roman" w:cs="Times New Roman" w:eastAsia="Times New Roman" w:hAnsi="Times New Roman"/>
          <w:sz w:val="18"/>
          <w:szCs w:val="18"/>
          <w:color w:val="auto"/>
        </w:rPr>
        <w:t>. The Adviser will provide its written recommendation as to the Regulated Fund’s participation to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and the Regulated Fund will participate in such Follow-On Investment solely to the extent that a Required Majority reviews the proposed Follow-On Investment both on a stand-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80" w:top="270" w:right="379" w:bottom="1440" w:gutter="0" w:footer="0" w:header="0"/>
        </w:sectPr>
      </w:pPr>
    </w:p>
    <w:bookmarkStart w:id="36" w:name="page37"/>
    <w:bookmarkEnd w:id="36"/>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alone basis and together with the Pre-Boarding Investments in relation to the total economic exposure and other terms and makes the determinations set forth in Condition 2(c). In addition, the Follow-On Investment may only be completed in reliance on the Order if the Required Majority of each participating Regulated Fund determines that the making and holding of the Pre-Boarding Investments were not prohibited by Section 57 (as modified by Rule 57b-1) or Rule 17d-1, as applicable. The basis for the Board’s findings will be recorded in its minutes.</w:t>
      </w:r>
    </w:p>
    <w:p>
      <w:pPr>
        <w:spacing w:after="0" w:line="178" w:lineRule="exact"/>
        <w:rPr>
          <w:sz w:val="20"/>
          <w:szCs w:val="20"/>
          <w:color w:val="auto"/>
        </w:rPr>
      </w:pPr>
    </w:p>
    <w:p>
      <w:pPr>
        <w:ind w:left="1260" w:hanging="241"/>
        <w:spacing w:after="0"/>
        <w:tabs>
          <w:tab w:leader="none" w:pos="12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Requirements</w:t>
      </w:r>
      <w:r>
        <w:rPr>
          <w:rFonts w:ascii="Times New Roman" w:cs="Times New Roman" w:eastAsia="Times New Roman" w:hAnsi="Times New Roman"/>
          <w:sz w:val="18"/>
          <w:szCs w:val="18"/>
          <w:color w:val="auto"/>
        </w:rPr>
        <w:t>. The Follow-On Investment may only be completed in reliance on the Order if:</w:t>
      </w:r>
    </w:p>
    <w:p>
      <w:pPr>
        <w:spacing w:after="0" w:line="117" w:lineRule="exact"/>
        <w:rPr>
          <w:rFonts w:ascii="Times New Roman" w:cs="Times New Roman" w:eastAsia="Times New Roman" w:hAnsi="Times New Roman"/>
          <w:sz w:val="18"/>
          <w:szCs w:val="18"/>
          <w:color w:val="auto"/>
        </w:rPr>
      </w:pPr>
    </w:p>
    <w:p>
      <w:pPr>
        <w:ind w:left="1020" w:right="240" w:firstLine="408"/>
        <w:spacing w:after="0" w:line="284" w:lineRule="auto"/>
        <w:tabs>
          <w:tab w:leader="none" w:pos="1644"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Original Investments</w:t>
      </w:r>
      <w:r>
        <w:rPr>
          <w:rFonts w:ascii="Times New Roman" w:cs="Times New Roman" w:eastAsia="Times New Roman" w:hAnsi="Times New Roman"/>
          <w:sz w:val="18"/>
          <w:szCs w:val="18"/>
          <w:color w:val="auto"/>
        </w:rPr>
        <w:t>. All of the Affiliated Funds’, Regulated Funds’ and Capital Markets Affiliates’ investments in the issuer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Pre-Boarding Investments;</w:t>
      </w:r>
    </w:p>
    <w:p>
      <w:pPr>
        <w:spacing w:after="0" w:line="50" w:lineRule="exact"/>
        <w:rPr>
          <w:rFonts w:ascii="Times New Roman" w:cs="Times New Roman" w:eastAsia="Times New Roman" w:hAnsi="Times New Roman"/>
          <w:sz w:val="18"/>
          <w:szCs w:val="18"/>
          <w:color w:val="auto"/>
        </w:rPr>
      </w:pPr>
    </w:p>
    <w:p>
      <w:pPr>
        <w:ind w:left="1020" w:right="260" w:firstLine="408"/>
        <w:spacing w:after="0" w:line="284" w:lineRule="auto"/>
        <w:tabs>
          <w:tab w:leader="none" w:pos="1694"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Advice of counsel</w:t>
      </w:r>
      <w:r>
        <w:rPr>
          <w:rFonts w:ascii="Times New Roman" w:cs="Times New Roman" w:eastAsia="Times New Roman" w:hAnsi="Times New Roman"/>
          <w:sz w:val="18"/>
          <w:szCs w:val="18"/>
          <w:color w:val="auto"/>
        </w:rPr>
        <w:t>. Independent counsel to the Board advises that the making and holding of the investments in the Pre-Boarding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were not prohibited by Section 57 (as modified by Rule 57b-1) or Rule 17d-1, as applicable;</w:t>
      </w:r>
    </w:p>
    <w:p>
      <w:pPr>
        <w:spacing w:after="0" w:line="50" w:lineRule="exact"/>
        <w:rPr>
          <w:rFonts w:ascii="Times New Roman" w:cs="Times New Roman" w:eastAsia="Times New Roman" w:hAnsi="Times New Roman"/>
          <w:sz w:val="18"/>
          <w:szCs w:val="18"/>
          <w:color w:val="auto"/>
        </w:rPr>
      </w:pPr>
    </w:p>
    <w:p>
      <w:pPr>
        <w:ind w:left="1020" w:firstLine="408"/>
        <w:spacing w:after="0" w:line="272" w:lineRule="auto"/>
        <w:tabs>
          <w:tab w:leader="none" w:pos="1744" w:val="left"/>
        </w:tabs>
        <w:numPr>
          <w:ilvl w:val="2"/>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Multiple Classes of Securities</w:t>
      </w:r>
      <w:r>
        <w:rPr>
          <w:rFonts w:ascii="Times New Roman" w:cs="Times New Roman" w:eastAsia="Times New Roman" w:hAnsi="Times New Roman"/>
          <w:sz w:val="17"/>
          <w:szCs w:val="17"/>
          <w:color w:val="auto"/>
        </w:rPr>
        <w:t>. All Regulated Funds, Affiliated Funds and Capital Markets Affiliates that hold Pre-Boarding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in the issuer immediately before the time of completion of the Co-Investment Transaction hold the same security or securities of the issuer. For the purpose of determining whether the Regulated Funds, Affiliated Funds and Capital Markets Affiliates hold the same security or securities, they may disregard any security held by some but not all of them if, prior to relying on the Order, the Required Majority is presented with all information necessary to make a finding, and finds, that: (x) any Regulated Fund’s, Affiliated Fund’s or Capital Markets Affiliates’ holding of a different class of securities (including for this purpose a security with a different maturity date) is immaterial in amount, including immaterial relative to the size of the issuer; and (y) the Board records the basis for any such finding in its minutes. In addition, securities that differ only in respect of issuance date, currency, or denominations may be treated as the same security; and</w:t>
      </w:r>
    </w:p>
    <w:p>
      <w:pPr>
        <w:spacing w:after="0" w:line="63" w:lineRule="exact"/>
        <w:rPr>
          <w:rFonts w:ascii="Times New Roman" w:cs="Times New Roman" w:eastAsia="Times New Roman" w:hAnsi="Times New Roman"/>
          <w:sz w:val="17"/>
          <w:szCs w:val="17"/>
          <w:color w:val="auto"/>
        </w:rPr>
      </w:pPr>
    </w:p>
    <w:p>
      <w:pPr>
        <w:jc w:val="both"/>
        <w:ind w:left="1020" w:right="100" w:firstLine="408"/>
        <w:spacing w:after="0" w:line="267" w:lineRule="auto"/>
        <w:tabs>
          <w:tab w:leader="none" w:pos="1733"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control</w:t>
      </w:r>
      <w:r>
        <w:rPr>
          <w:rFonts w:ascii="Times New Roman" w:cs="Times New Roman" w:eastAsia="Times New Roman" w:hAnsi="Times New Roman"/>
          <w:sz w:val="18"/>
          <w:szCs w:val="18"/>
          <w:color w:val="auto"/>
        </w:rPr>
        <w:t>. The Affiliated Funds, the Capital Markets Affiliates, the other Regulated Funds and their affiliated persons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of Section 2(a)(3)(C) of the Act), individually or in the aggregate, do not control the issuer of the securities (within the meaning of Section 2(a)(9) of the Act).</w:t>
      </w:r>
    </w:p>
    <w:p>
      <w:pPr>
        <w:spacing w:after="0" w:line="173" w:lineRule="exact"/>
        <w:rPr>
          <w:rFonts w:ascii="Times New Roman" w:cs="Times New Roman" w:eastAsia="Times New Roman" w:hAnsi="Times New Roman"/>
          <w:sz w:val="18"/>
          <w:szCs w:val="18"/>
          <w:color w:val="auto"/>
        </w:rPr>
      </w:pPr>
    </w:p>
    <w:p>
      <w:pPr>
        <w:ind w:left="1280" w:hanging="261"/>
        <w:spacing w:after="0"/>
        <w:tabs>
          <w:tab w:leader="none" w:pos="12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If, with respect to any such Follow-On Investment:</w:t>
      </w:r>
    </w:p>
    <w:p>
      <w:pPr>
        <w:spacing w:after="0" w:line="119" w:lineRule="exact"/>
        <w:rPr>
          <w:rFonts w:ascii="Times New Roman" w:cs="Times New Roman" w:eastAsia="Times New Roman" w:hAnsi="Times New Roman"/>
          <w:sz w:val="18"/>
          <w:szCs w:val="18"/>
          <w:color w:val="auto"/>
        </w:rPr>
      </w:pPr>
    </w:p>
    <w:p>
      <w:pPr>
        <w:ind w:left="1020" w:right="480" w:firstLine="408"/>
        <w:spacing w:after="0" w:line="266" w:lineRule="auto"/>
        <w:tabs>
          <w:tab w:leader="none" w:pos="1644"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opportunity proposed to be made available to any Regulated Fund is not based on the Regulated Funds’, the Affiliated Funds’ and the Capital Markets Affiliates’ outstanding investments in the issuer or the security at issue, as appropriate, immediately preceding the Follow-On Investment; and</w:t>
      </w:r>
    </w:p>
    <w:p>
      <w:pPr>
        <w:spacing w:after="0" w:line="67" w:lineRule="exact"/>
        <w:rPr>
          <w:rFonts w:ascii="Times New Roman" w:cs="Times New Roman" w:eastAsia="Times New Roman" w:hAnsi="Times New Roman"/>
          <w:sz w:val="18"/>
          <w:szCs w:val="18"/>
          <w:color w:val="auto"/>
        </w:rPr>
      </w:pPr>
    </w:p>
    <w:p>
      <w:pPr>
        <w:ind w:left="1020" w:right="60" w:firstLine="408"/>
        <w:spacing w:after="0" w:line="258" w:lineRule="auto"/>
        <w:tabs>
          <w:tab w:leader="none" w:pos="1694"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recommended by the Advisers to be invested in the Follow-On Investment by the participating Regulated Funds and any participating Affiliated Funds and Carlyle Proprietary Accounts and the amount proposed to be invested in the Follow-On Investment by any participating Carlyle Broker-Dealer Subsidiaries, collectively, exceeds the amount of the investment opportunity, then the Follow-On Investment opportunity will be allocated among them pro rata based on the size of the Internal Orders, as described in Section III.A.1.b above.</w:t>
      </w:r>
    </w:p>
    <w:p>
      <w:pPr>
        <w:spacing w:after="0" w:line="181" w:lineRule="exact"/>
        <w:rPr>
          <w:rFonts w:ascii="Times New Roman" w:cs="Times New Roman" w:eastAsia="Times New Roman" w:hAnsi="Times New Roman"/>
          <w:sz w:val="18"/>
          <w:szCs w:val="18"/>
          <w:color w:val="auto"/>
        </w:rPr>
      </w:pPr>
    </w:p>
    <w:p>
      <w:pPr>
        <w:ind w:right="700" w:firstLine="1019"/>
        <w:spacing w:after="0" w:line="284" w:lineRule="auto"/>
        <w:tabs>
          <w:tab w:leader="none" w:pos="125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Conditions</w:t>
      </w:r>
      <w:r>
        <w:rPr>
          <w:rFonts w:ascii="Times New Roman" w:cs="Times New Roman" w:eastAsia="Times New Roman" w:hAnsi="Times New Roman"/>
          <w:sz w:val="18"/>
          <w:szCs w:val="18"/>
          <w:color w:val="auto"/>
        </w:rPr>
        <w:t>. The acquisition of Follow-On Investments as permitted by this Condition will be considered a Co-Investment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for all purposes and subject to the other Conditions set forth in this application.</w:t>
      </w:r>
    </w:p>
    <w:p>
      <w:pPr>
        <w:spacing w:after="0" w:line="160"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Reporting, Compliance and Annual Re-Approval.</w:t>
      </w:r>
    </w:p>
    <w:p>
      <w:pPr>
        <w:spacing w:after="0" w:line="117" w:lineRule="exact"/>
        <w:rPr>
          <w:rFonts w:ascii="Times New Roman" w:cs="Times New Roman" w:eastAsia="Times New Roman" w:hAnsi="Times New Roman"/>
          <w:sz w:val="18"/>
          <w:szCs w:val="18"/>
          <w:color w:val="auto"/>
        </w:rPr>
      </w:pPr>
    </w:p>
    <w:p>
      <w:pPr>
        <w:ind w:right="180" w:firstLine="1019"/>
        <w:spacing w:after="0" w:line="282" w:lineRule="auto"/>
        <w:tabs>
          <w:tab w:leader="none" w:pos="125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Adviser to a Regulated Fund will present to the Board of each Regulated Fund, on a quarterly basis, and at such other times as the Board may request, (i) a record of all investments in Potential Co-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00"/>
          </w:cols>
          <w:pgMar w:left="320" w:top="270" w:right="379" w:bottom="1440" w:gutter="0" w:footer="0" w:header="0"/>
        </w:sectPr>
      </w:pPr>
    </w:p>
    <w:bookmarkStart w:id="37" w:name="page38"/>
    <w:bookmarkEnd w:id="3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Transactions made by any of the other Regulated Funds or any of the Affiliated Funds or Capital Markets Affiliates during the preceding quarter that fell within the Regulated Fund’s then-current Objectives and Strategies and Board-Established Criteria that were not made available to the Regulated Fund, and an explanation of why such investment opportunities were not made available to the Regulated Fund; (ii) a record of all Follow-On Investments in and Dispositions of investments in any issuer in which the Regulated Fund holds any investments by any Affiliated Fund or Capital Markets Affiliate or other Regulated Fund during the prior quarter; and (iii) all information concerning Potential Co-Investment Transactions and Co-Investment Transactions, including investments made by other Regulated Funds, Affiliated Funds or Capital Markets Affiliates that the Regulated Fund considered but declined to participate in, so that the Independent Directors, may determine whether all Potential Co-Investment Transactions and Co-Investment Transactions during the preceding quarter, including those investments that the Regulated Fund considered but declined to participate in, comply with the Conditions.</w:t>
      </w:r>
    </w:p>
    <w:p>
      <w:pPr>
        <w:spacing w:after="0" w:line="188" w:lineRule="exact"/>
        <w:rPr>
          <w:sz w:val="20"/>
          <w:szCs w:val="20"/>
          <w:color w:val="auto"/>
        </w:rPr>
      </w:pPr>
    </w:p>
    <w:p>
      <w:pPr>
        <w:ind w:right="120" w:firstLine="1019"/>
        <w:spacing w:after="0" w:line="282" w:lineRule="auto"/>
        <w:tabs>
          <w:tab w:leader="none" w:pos="126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presented to the Regulated Fund’s Board pursuant to this Condition will be kept for the life of the Regulated Fund and at least two years thereafter, and will be subject to examination by the Commission and its staff.</w:t>
      </w:r>
    </w:p>
    <w:p>
      <w:pPr>
        <w:spacing w:after="0" w:line="161" w:lineRule="exact"/>
        <w:rPr>
          <w:rFonts w:ascii="Times New Roman" w:cs="Times New Roman" w:eastAsia="Times New Roman" w:hAnsi="Times New Roman"/>
          <w:sz w:val="18"/>
          <w:szCs w:val="18"/>
          <w:color w:val="auto"/>
        </w:rPr>
      </w:pPr>
    </w:p>
    <w:p>
      <w:pPr>
        <w:ind w:right="160" w:firstLine="1019"/>
        <w:spacing w:after="0" w:line="261" w:lineRule="auto"/>
        <w:tabs>
          <w:tab w:leader="none" w:pos="1255"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Regulated Fund’s chief compliance officer, as defined in rule 38a-1(a)(4), will prepare an annual report for its Board each year that evaluates (and documents the basis of that evaluation) the Regulated Fund’s compliance with the terms and Conditions of the application and the procedures established to achieve such compliance. In the case of a BDC Downstream Fund that does not have a chief compliance officer, the chief compliance officer of the BDC that controls the BDC Downstream Fund will prepare the report for the relevant Independent Party.</w:t>
      </w:r>
    </w:p>
    <w:p>
      <w:pPr>
        <w:spacing w:after="0" w:line="179" w:lineRule="exact"/>
        <w:rPr>
          <w:rFonts w:ascii="Times New Roman" w:cs="Times New Roman" w:eastAsia="Times New Roman" w:hAnsi="Times New Roman"/>
          <w:sz w:val="18"/>
          <w:szCs w:val="18"/>
          <w:color w:val="auto"/>
        </w:rPr>
      </w:pPr>
    </w:p>
    <w:p>
      <w:pPr>
        <w:ind w:right="400" w:firstLine="1019"/>
        <w:spacing w:after="0" w:line="282" w:lineRule="auto"/>
        <w:tabs>
          <w:tab w:leader="none" w:pos="126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(including the non-interested members of each Independent Party) will consider at least annually whether continued participation in new and existing Co-Investment Transactions is in the Regulated Fund’s best interests.</w:t>
      </w:r>
    </w:p>
    <w:p>
      <w:pPr>
        <w:spacing w:after="0" w:line="161" w:lineRule="exact"/>
        <w:rPr>
          <w:rFonts w:ascii="Times New Roman" w:cs="Times New Roman" w:eastAsia="Times New Roman" w:hAnsi="Times New Roman"/>
          <w:sz w:val="18"/>
          <w:szCs w:val="18"/>
          <w:color w:val="auto"/>
        </w:rPr>
      </w:pPr>
    </w:p>
    <w:p>
      <w:pPr>
        <w:ind w:right="80" w:firstLine="457"/>
        <w:spacing w:after="0" w:line="282" w:lineRule="auto"/>
        <w:tabs>
          <w:tab w:leader="none" w:pos="71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Keeping</w:t>
      </w:r>
      <w:r>
        <w:rPr>
          <w:rFonts w:ascii="Times New Roman" w:cs="Times New Roman" w:eastAsia="Times New Roman" w:hAnsi="Times New Roman"/>
          <w:sz w:val="18"/>
          <w:szCs w:val="18"/>
          <w:color w:val="auto"/>
        </w:rPr>
        <w:t>. Each Regulated Fund will maintain the records required by Section 57(f)(3) of the Act as if each of the Regulated Funds were a BDC and each of the investments permitted under these Conditions were approved by the Required Majority under Section 57(f).</w:t>
      </w:r>
    </w:p>
    <w:p>
      <w:pPr>
        <w:spacing w:after="0" w:line="161" w:lineRule="exact"/>
        <w:rPr>
          <w:rFonts w:ascii="Times New Roman" w:cs="Times New Roman" w:eastAsia="Times New Roman" w:hAnsi="Times New Roman"/>
          <w:sz w:val="18"/>
          <w:szCs w:val="18"/>
          <w:color w:val="auto"/>
        </w:rPr>
      </w:pPr>
    </w:p>
    <w:p>
      <w:pPr>
        <w:ind w:firstLine="457"/>
        <w:spacing w:after="0" w:line="266" w:lineRule="auto"/>
        <w:tabs>
          <w:tab w:leader="none" w:pos="7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Independence</w:t>
      </w:r>
      <w:r>
        <w:rPr>
          <w:rFonts w:ascii="Times New Roman" w:cs="Times New Roman" w:eastAsia="Times New Roman" w:hAnsi="Times New Roman"/>
          <w:sz w:val="18"/>
          <w:szCs w:val="18"/>
          <w:color w:val="auto"/>
        </w:rPr>
        <w:t>. No Independent Director (including the non-interested members of any Independent Party) of a Regulated Fund will also be a director, general partner, managing member or principal, or otherwise be an “affiliated person” (as defined in the Act) of any Affiliated Fund or Capital Markets Affiliate.</w:t>
      </w:r>
    </w:p>
    <w:p>
      <w:pPr>
        <w:spacing w:after="0" w:line="175" w:lineRule="exact"/>
        <w:rPr>
          <w:rFonts w:ascii="Times New Roman" w:cs="Times New Roman" w:eastAsia="Times New Roman" w:hAnsi="Times New Roman"/>
          <w:sz w:val="18"/>
          <w:szCs w:val="18"/>
          <w:color w:val="auto"/>
        </w:rPr>
      </w:pPr>
    </w:p>
    <w:p>
      <w:pPr>
        <w:ind w:right="160" w:firstLine="457"/>
        <w:spacing w:after="0" w:line="258" w:lineRule="auto"/>
        <w:tabs>
          <w:tab w:leader="none" w:pos="7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if any, associated with acquiring, holding or disposing of any securities acquired in a Co-Investment Transaction (including, without limitation, the expenses of the distribution of any such securities registered for sale under the Securities Act) will, to the extent not payable by the Advisers under their respective advisory agreements with the Regulated Funds and the Affiliated Funds, be shared by the Regulated Funds and the participating Affiliated Funds and Capital Markets Affiliates in proportion to the relative amounts of the securities held or being acquired or disposed of, as the case may be.</w:t>
      </w:r>
    </w:p>
    <w:p>
      <w:pPr>
        <w:spacing w:after="0" w:line="183" w:lineRule="exact"/>
        <w:rPr>
          <w:rFonts w:ascii="Times New Roman" w:cs="Times New Roman" w:eastAsia="Times New Roman" w:hAnsi="Times New Roman"/>
          <w:sz w:val="18"/>
          <w:szCs w:val="18"/>
          <w:color w:val="auto"/>
        </w:rPr>
      </w:pPr>
    </w:p>
    <w:p>
      <w:pPr>
        <w:ind w:right="40" w:firstLine="457"/>
        <w:spacing w:after="0" w:line="239" w:lineRule="auto"/>
        <w:tabs>
          <w:tab w:leader="none" w:pos="7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perscript"/>
        </w:rPr>
        <w:t>31</w:t>
      </w:r>
      <w:r>
        <w:rPr>
          <w:rFonts w:ascii="Times New Roman" w:cs="Times New Roman" w:eastAsia="Times New Roman" w:hAnsi="Times New Roman"/>
          <w:sz w:val="18"/>
          <w:szCs w:val="18"/>
          <w:color w:val="auto"/>
        </w:rPr>
        <w:t xml:space="preserve"> Any transaction fee (including break-up, structuring, monitoring or commitment fees but excluding brokerage or underwriting compensation permitted by Section 17(e) or 57(k)) received in connection with any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participants. None of the Advisers, the Affiliated Funds, the Capital Markets Affiliates, the other Regulated Funds or any affiliated person of the Affiliated Funds, the Capital Markets Affiliates or the Regulated Funds will receive any additional compensation or remuneration of any kind as a result of or in connection with a Co-Investment Transaction other than (i)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886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6" w:lineRule="exact"/>
        <w:rPr>
          <w:sz w:val="20"/>
          <w:szCs w:val="20"/>
          <w:color w:val="auto"/>
        </w:rPr>
      </w:pPr>
    </w:p>
    <w:p>
      <w:pPr>
        <w:ind w:left="460" w:right="360" w:hanging="452"/>
        <w:spacing w:after="0" w:line="208" w:lineRule="auto"/>
        <w:tabs>
          <w:tab w:leader="none" w:pos="460" w:val="left"/>
        </w:tabs>
        <w:numPr>
          <w:ilvl w:val="0"/>
          <w:numId w:val="9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Applicants are not requesting and the Commission is not providing any relief for transaction fees received in connection with any Co-Investment Transaction.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270" w:right="339" w:bottom="1440" w:gutter="0" w:footer="0" w:header="0"/>
        </w:sectPr>
      </w:pPr>
    </w:p>
    <w:bookmarkStart w:id="38" w:name="page39"/>
    <w:bookmarkEnd w:id="38"/>
    <w:p>
      <w:pPr>
        <w:ind w:left="20" w:right="219"/>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Regulated Funds, the Affiliated Funds and the Capital Markets Affiliates, the pro rata transaction fees described above and fees or other compensation described in Condition 2(c)(iii)(B)(z), (ii) brokerage or underwriting compensation permitted by Section 17(e) or 57(k) or (iii) in the case of the Advisers, investment advisory compensation paid in accordance with investment advisory agreements between the applicable Regulated Fund(s) or Affiliated Fund(s) and its Adviser.</w:t>
      </w:r>
    </w:p>
    <w:p>
      <w:pPr>
        <w:spacing w:after="0" w:line="183" w:lineRule="exact"/>
        <w:rPr>
          <w:sz w:val="20"/>
          <w:szCs w:val="20"/>
          <w:color w:val="auto"/>
        </w:rPr>
      </w:pPr>
    </w:p>
    <w:p>
      <w:pPr>
        <w:ind w:left="20" w:right="19" w:firstLine="350"/>
        <w:spacing w:after="0" w:line="258" w:lineRule="auto"/>
        <w:tabs>
          <w:tab w:leader="none" w:pos="6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Independence</w:t>
      </w:r>
      <w:r>
        <w:rPr>
          <w:rFonts w:ascii="Times New Roman" w:cs="Times New Roman" w:eastAsia="Times New Roman" w:hAnsi="Times New Roman"/>
          <w:sz w:val="18"/>
          <w:szCs w:val="18"/>
          <w:color w:val="auto"/>
        </w:rPr>
        <w:t>. If the Holders own in the aggregate more than 25 percent of the Shares of a Regulated Fund, then the Holders will vote such Shares as directed in the same percentages as the Regulated Fund’s other shareholders (not including the Holders) or by an independent third party when voting on (1) the election of directors; (2) the removal of one or more directors; or (3) any other matter under either the Act or applicable State law affecting the Board’s composition, size or manner of election.</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VI. </w:t>
      </w:r>
      <w:r>
        <w:rPr>
          <w:rFonts w:ascii="Times New Roman" w:cs="Times New Roman" w:eastAsia="Times New Roman" w:hAnsi="Times New Roman"/>
          <w:sz w:val="18"/>
          <w:szCs w:val="18"/>
          <w:b w:val="1"/>
          <w:bCs w:val="1"/>
          <w:u w:val="single" w:color="auto"/>
          <w:color w:val="auto"/>
        </w:rPr>
        <w:t>PROCEDURAL MATTERS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Pursuant to Rule 0-2(f), each Applicant states that its address is as indicated below:</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Secured Lending,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Solutions,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TCG BDC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Solutions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Solutions SPV 2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Direct Lending CLO 2015-1R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SECURED LENDING III</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OCPC Credit Facility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Credit Investment Management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CSL III Advisor,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CLO Management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MC UNI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MC UNI Subsidiary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MC UNI SUBSIDIARY II (BLOCKER)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CPC 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CPC V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CDL 2018-1,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CDL 2018-1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CDL 2018-2,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Ontario Credit Partnership,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Ontario Credit SLP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Ontario Credit Special Limited Partner,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Skyline Credit Fund,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CDL 2020-3,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CLO Fund,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2012-3,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2012-4,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2013-1,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2013-2,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2013-3,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2013-4,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2014-1,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2014-2-R,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2014-3-R,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2014-4-R,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2014-5,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2015-1,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2015-2,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2015-3,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2015-4,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2015-5,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2016-1,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2016-2,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CLO 2016-3,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2016-4,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2017-1,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2017-2,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2017-3,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2017-4,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2017-5,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2018-1,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2018-2,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2018-3,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2018-4,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2019-1,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2019-2,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2019-3,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2019-4,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2020-1,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2020-A, Ltd.</w:t>
      </w:r>
    </w:p>
    <w:p>
      <w:pPr>
        <w:sectPr>
          <w:pgSz w:w="11900" w:h="16838" w:orient="portrait"/>
          <w:cols w:equalWidth="0" w:num="1">
            <w:col w:w="9019"/>
          </w:cols>
          <w:pgMar w:left="1440" w:top="270" w:right="1440" w:bottom="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8"/>
          <w:szCs w:val="18"/>
          <w:color w:val="auto"/>
        </w:rPr>
        <w:t>Carlyle Structured Credit Fund, 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C17 CLO,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2020-2,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2021-A,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Structured Credit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Energy Mezzanine Opportunities Fund II,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Energy Mezzanine Opportunities Fund II-A,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Master Co-Investment Partners,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Master Co-Investment Partners AIV One,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Master Co-Investment Partners AIV, L.P.</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019"/>
          </w:cols>
          <w:pgMar w:left="1440" w:top="121" w:right="1440" w:bottom="1440" w:gutter="0" w:footer="0" w:header="0"/>
        </w:sectPr>
      </w:pPr>
    </w:p>
    <w:bookmarkStart w:id="40" w:name="page41"/>
    <w:bookmarkEnd w:id="40"/>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CEMOF-A Coinvestment Partners, 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AIV One,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AIV Two,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AIV Three,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AIV Four,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II-A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II-A AIV One,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II-A AIV Two,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II-A AIV Three,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II-A AIV Four,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CEMOF II Offshore Investors,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Cayman,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North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Note Issuer,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Note Issuer,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Gem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Master Cayman Gem Co-Investment,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Onshore Co-Borrower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Master Cayman,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Master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GC Lion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SPV I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Madison JV S.a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GC Orange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Master Co-Investment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Co-Investment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Main SPV,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Tango Re Credit,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II,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II, SCSp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II Note Issuer,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II Lux Feeder, SCSp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Carlyle Credit Opportunities Fund (Parallel) II Note Issuer, 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II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II Master,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II Master Cayman,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II Onshore SPV,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II Master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II SPV S.à r.l.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Master,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Parallel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Parallel AIV Investors,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Strategic Partners 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Coinvestment (Cayman),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(Cayman 1),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Acquisitions,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S-1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S-1A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S-1B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CREDIT Acquisitions (Cayman-3),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ARF (Cayman 3),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(Cayman 2),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(Cayman 3),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Clover Partners,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Clover Partners 2,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Revolving Loan Fund,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CREV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CREV Cayman,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Clover Financing SPV,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Infrastructure Credit Fund,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Bravo Opportunistic Credit Partnership,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Bravo Opportunistic Credit Feeder,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CELF Advisors LLP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2013-1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Euro CLO 2014-1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Euro CLO 2014-2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Euro CLO 2014-3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Euro CLO 2015-1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Euro CLO 2015-2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Euro CLO 2015-3 DAC</w:t>
      </w:r>
    </w:p>
    <w:p>
      <w:pPr>
        <w:sectPr>
          <w:pgSz w:w="11900" w:h="16896" w:orient="portrait"/>
          <w:cols w:equalWidth="0" w:num="1">
            <w:col w:w="9019"/>
          </w:cols>
          <w:pgMar w:left="1440" w:top="270" w:right="1440" w:bottom="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8"/>
          <w:szCs w:val="18"/>
          <w:color w:val="auto"/>
        </w:rPr>
        <w:t>Carlyle Global Market Strategies Euro CLO 2016-1 DAC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Global Market Strategies Euro CLO 2016-2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2017-1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2017-2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2017-3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2018-1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2018-2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2019-1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2019-2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2020-1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2020-2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2021-1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2021-2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EURO CLO 2021-3 DAC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2021-3S,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2021-5,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2021-6,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2021-7,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2021-8,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2021-10,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2021-9,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2021-11,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2021-J,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2022-A,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2022-B,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CICF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INFRASTRUCTURE CREDIT FUND NOTE ISSUER,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CICF LUX FEEDER, SCSP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AIV INVESTORS,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AIV 2,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AIV INVESTORS 2,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AIV 3,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AIV 4, L.P.</w:t>
      </w:r>
    </w:p>
    <w:p>
      <w:pPr>
        <w:spacing w:after="0" w:line="9" w:lineRule="exact"/>
        <w:rPr>
          <w:sz w:val="20"/>
          <w:szCs w:val="20"/>
          <w:color w:val="auto"/>
        </w:rPr>
      </w:pPr>
    </w:p>
    <w:p>
      <w:pPr>
        <w:ind w:left="20" w:right="2379"/>
        <w:spacing w:after="0" w:line="250" w:lineRule="auto"/>
        <w:rPr>
          <w:sz w:val="20"/>
          <w:szCs w:val="20"/>
          <w:color w:val="auto"/>
        </w:rPr>
      </w:pPr>
      <w:r>
        <w:rPr>
          <w:rFonts w:ascii="Times New Roman" w:cs="Times New Roman" w:eastAsia="Times New Roman" w:hAnsi="Times New Roman"/>
          <w:sz w:val="18"/>
          <w:szCs w:val="18"/>
          <w:color w:val="auto"/>
        </w:rPr>
        <w:t>CARLYLE CREDIT OPPORTUNITIES FUND (PARALLEL) AIV INVESTORS 3, L.L.C. CARLYLE CREDIT OPPORTUNITIES FUND (PARALLEL) AIV INVESTORS 4, LLC CARLYLE CREDIT OPPORTUNITIES FUND (PARALLEL) II AIV 3, L.P. CARLYLE CREDIT OPPORTUNITIES FUND (PARALLEL) II AIV 4, L.P.</w:t>
      </w:r>
    </w:p>
    <w:p>
      <w:pPr>
        <w:spacing w:after="0" w:line="2" w:lineRule="exact"/>
        <w:rPr>
          <w:sz w:val="20"/>
          <w:szCs w:val="20"/>
          <w:color w:val="auto"/>
        </w:rPr>
      </w:pPr>
    </w:p>
    <w:p>
      <w:pPr>
        <w:ind w:left="20" w:right="2359"/>
        <w:spacing w:after="0" w:line="250" w:lineRule="auto"/>
        <w:rPr>
          <w:sz w:val="20"/>
          <w:szCs w:val="20"/>
          <w:color w:val="auto"/>
        </w:rPr>
      </w:pPr>
      <w:r>
        <w:rPr>
          <w:rFonts w:ascii="Times New Roman" w:cs="Times New Roman" w:eastAsia="Times New Roman" w:hAnsi="Times New Roman"/>
          <w:sz w:val="18"/>
          <w:szCs w:val="18"/>
          <w:color w:val="auto"/>
        </w:rPr>
        <w:t>CARLYLE CREDIT OPPORTUNITIES FUND (PARALLEL) II AIV INVESTORS 3, LLC PROJECT MEDIACO, L.P.</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BRAVO CREDIT INVESTOR,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PROJECT HARMONY, L.P.</w:t>
      </w:r>
    </w:p>
    <w:p>
      <w:pPr>
        <w:spacing w:after="0" w:line="9" w:lineRule="exact"/>
        <w:rPr>
          <w:sz w:val="20"/>
          <w:szCs w:val="20"/>
          <w:color w:val="auto"/>
        </w:rPr>
      </w:pPr>
    </w:p>
    <w:p>
      <w:pPr>
        <w:ind w:left="20" w:right="3299"/>
        <w:spacing w:after="0" w:line="250" w:lineRule="auto"/>
        <w:rPr>
          <w:sz w:val="20"/>
          <w:szCs w:val="20"/>
          <w:color w:val="auto"/>
        </w:rPr>
      </w:pPr>
      <w:r>
        <w:rPr>
          <w:rFonts w:ascii="Times New Roman" w:cs="Times New Roman" w:eastAsia="Times New Roman" w:hAnsi="Times New Roman"/>
          <w:sz w:val="18"/>
          <w:szCs w:val="18"/>
          <w:color w:val="auto"/>
        </w:rPr>
        <w:t>CARLYLE CREDIT OPPORTUNITIES FUND (PARALLEL) II AIV 2, SCSP CARLYLE CREDIT OPPORTUNITIES FUND (PARALLEL) II AIV, SCSP CCOF II PARALLEL AIV INVESTORS, SCSP</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II AIV HOLDINGS,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II AIV 2 HOLDINGS,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SPINNAKER PARTNERS 2,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SPINNAKER PARTNERS 2 MAIN,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II-N,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II-N MAIN,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REVOLVING LOAN FUND II,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CREV II CAYMAN,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DIRECT LENDING FUND (LEVERED),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DIRECT LENDING FUND,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FALCON STRUCTURED SOLUTIONS,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AURORA INFRASTRUCTURE CREDIT PARTNERS,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INFRASTRUCTURE CREDIT FUND (LEVERED),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CREV II COINVESTMENT,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ONTARIO CREDIT PARTNERSHIP DIRECT LENDING SPV,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SKYLINE CREDIT FUND, AIV L.P.</w:t>
      </w:r>
    </w:p>
    <w:p>
      <w:pPr>
        <w:spacing w:after="0" w:line="9" w:lineRule="exact"/>
        <w:rPr>
          <w:sz w:val="20"/>
          <w:szCs w:val="20"/>
          <w:color w:val="auto"/>
        </w:rPr>
      </w:pPr>
    </w:p>
    <w:p>
      <w:pPr>
        <w:ind w:left="20" w:right="4339"/>
        <w:spacing w:after="0" w:line="250" w:lineRule="auto"/>
        <w:rPr>
          <w:sz w:val="20"/>
          <w:szCs w:val="20"/>
          <w:color w:val="auto"/>
        </w:rPr>
      </w:pPr>
      <w:r>
        <w:rPr>
          <w:rFonts w:ascii="Times New Roman" w:cs="Times New Roman" w:eastAsia="Times New Roman" w:hAnsi="Times New Roman"/>
          <w:sz w:val="18"/>
          <w:szCs w:val="18"/>
          <w:color w:val="auto"/>
        </w:rPr>
        <w:t>CCOF II PARALLEL IRVING AIV INVESTORS (LUX), SCSP CCOF II LUX FEEDER IRVING AIV, SCSP</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CCOF II PARALLEL IRVING AIV INVESTORS (DE),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II IRVING AIV 2,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(PARALLEL) II IRVING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BRAWN AIV,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COINVEST BRAWN INVESTORS,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COINVEST BRAWN,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(PARALLEL) AIV I,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CSP IV CREDIT INVESTOR,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BRAWN COINVEST ELECTING INVESTORS,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TANGO RE CREDIT SPLITTER,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CEDAR INFRASTRUCTURE CREDIT PARTNERS,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AURORA REVOLVING LOAN FUND, L.P.</w:t>
      </w:r>
    </w:p>
    <w:p>
      <w:pPr>
        <w:sectPr>
          <w:pgSz w:w="11900" w:h="16838" w:orient="portrait"/>
          <w:cols w:equalWidth="0" w:num="1">
            <w:col w:w="9019"/>
          </w:cols>
          <w:pgMar w:left="1440" w:top="121" w:right="1440" w:bottom="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8"/>
          <w:szCs w:val="18"/>
          <w:color w:val="auto"/>
        </w:rPr>
        <w:t>CARLYLE DIRECT LENDING DRAWDOWN CLO 2022-1 PARTNERSHIP, 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2022-F,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2022-G,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US CLO 2022-H,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2017-1,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2017-2,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2017-3,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2017-4,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2017-4,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2018-5,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2018-6,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2018-7,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2018-8,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2019-9,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2019-10,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2019-11R,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2020-12,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2020-13,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2020-13,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2021-14, LTD.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CBAM 2021-15,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III,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III (PARALLEL), SCSP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III PLUS,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CARLYLE CREDIT OPPORTUNITIES FUND III PLUS (PARALLEL), SCSP</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One Vanderbilt Avenue, Suite 3400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TCG Capital Markets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TCG Senior Funding L.L.C.</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1001 Pennsylvania Avenue, NW, Suite 220 South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Applicants further state that all written or oral communications concerning this Application should be directed to:</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Rajib Chanda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P. Healey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(202)-636-5500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rajib.chanda@stblaw.com</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christopher.healey@stblaw.com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019"/>
          </w:cols>
          <w:pgMar w:left="1440" w:top="12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Applicants desire that the Commission issue an Order pursuant to Rule 0-5 without conducting a hearing.</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Rule 0-2, each person executing the Application on behalf of an Applicant says that he or she has duly executed the Application for and on behalf of such Applicant; that he or she is authorized to execute the Application pursuant to the terms of an operating agreement, management agreement or otherwise; and that all actions by members, directors or other bodies necessary to authorize each deponent to execute and file the Application have been taken.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verifications required by Rule 0-2(d) and the authorizations required by Rule 0-2(c) are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Applicants request that any questions regarding this Application be directed to the persons listed on the facing page of this Application.</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VII.  </w:t>
      </w:r>
      <w:r>
        <w:rPr>
          <w:rFonts w:ascii="Times New Roman" w:cs="Times New Roman" w:eastAsia="Times New Roman" w:hAnsi="Times New Roman"/>
          <w:sz w:val="18"/>
          <w:szCs w:val="18"/>
          <w:b w:val="1"/>
          <w:bCs w:val="1"/>
          <w:u w:val="single" w:color="auto"/>
          <w:color w:val="auto"/>
        </w:rPr>
        <w:t>REQUEST FOR ORDER OF EXEMPTION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foregoing reasons, Applicants request that the Commission enter an Order under Sections 17(d), 57(a)(4) and 57(i) and Rule 17d-1 granting Applicants the relief sought by the Application. Applicants submit that the requested exemption is consistent with the protection of investors. Applicants further request that the requested Order supersede and replace the Prior Order, with the result that no person will continue to rely on the Prior Order if the Order is granted.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270"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Dated: December 23, 2022</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SECURED LENDING, INC.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SOLUTIONS, INC.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SECURED LENDING III</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TCG BDC SPV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SOLUTIONS SPV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DIRECT LENDING CLO 2015-1R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SOLUTIONS SPV 2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OCPC CREDIT FACILITY SPV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TACTICAL PRIVATE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CARLYLE GLOBAL CREDIT INVESTMENT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Global Credit Chief Legal Officer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CSL III ADVISOR,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Global Credit Investment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Management L.L.C., its managing member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CPC V, LP</w:t>
      </w:r>
    </w:p>
    <w:p>
      <w:pPr>
        <w:spacing w:after="0" w:line="1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CPC V GP,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CPC V SPV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CPC V, L.P., its sole member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CPC V GP,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Application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45" w:name="page46"/>
    <w:bookmarkEnd w:id="45"/>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MC UNI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Carlyle MC GP, Ltd.,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MC UNI SUBSIDIARY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MC UNI SUBSIDIARY II (BLOCKER) LLC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MC UNI LLC,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Carlyle MC GP, Ltd., its managing member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Application</w:t>
      </w:r>
      <w:r>
        <w:rPr>
          <w:rFonts w:ascii="Times New Roman" w:cs="Times New Roman" w:eastAsia="Times New Roman" w:hAnsi="Times New Roman"/>
          <w:sz w:val="17"/>
          <w:szCs w:val="17"/>
          <w:color w:val="auto"/>
        </w:rPr>
        <w:t>]</w:t>
      </w:r>
    </w:p>
    <w:p>
      <w:pPr>
        <w:sectPr>
          <w:pgSz w:w="11900" w:h="16838" w:orient="portrait"/>
          <w:cols w:equalWidth="0" w:num="1">
            <w:col w:w="9140"/>
          </w:cols>
          <w:pgMar w:left="1440" w:top="270" w:right="1319" w:bottom="1440" w:gutter="0" w:footer="0" w:header="0"/>
        </w:sectPr>
      </w:pPr>
    </w:p>
    <w:bookmarkStart w:id="46" w:name="page47"/>
    <w:bookmarkEnd w:id="46"/>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CDL 2018-1, L.L.C.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CDL 2018-1 SPV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CDL 2018-1 Manager, L.L.C., its manager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CDL 2018-1 GP, L.L.C., its managing</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CDL 2018-2,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CDL 2018-1 GP, Ltd.,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ONTARIO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PARTNERSHIP,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ONTARIO CREDIT SLP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TCG OPT Credit GP, Ltd.,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ONTARIO CREDIT SPECIAL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LIMITED PARTNER, L.P</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Ontario Credit SLP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Kristie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Kristie Weaver</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SKYLINE CREDIT FUND,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Skyline Credit Fund GP,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Skyline Credit Fund GP, L.L.C., its</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CDL 2020-3,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CDL 2020-3 MANAGER,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270" w:right="1440" w:bottom="1440" w:gutter="0" w:footer="0" w:header="0"/>
        </w:sectPr>
      </w:pPr>
    </w:p>
    <w:bookmarkStart w:id="47" w:name="page48"/>
    <w:bookmarkEnd w:id="47"/>
    <w:p>
      <w:pPr>
        <w:ind w:left="5400"/>
        <w:spacing w:after="0"/>
        <w:rPr>
          <w:sz w:val="20"/>
          <w:szCs w:val="20"/>
          <w:color w:val="auto"/>
        </w:rPr>
      </w:pPr>
      <w:r>
        <w:rPr>
          <w:rFonts w:ascii="Times New Roman" w:cs="Times New Roman" w:eastAsia="Times New Roman" w:hAnsi="Times New Roman"/>
          <w:sz w:val="17"/>
          <w:szCs w:val="17"/>
          <w:color w:val="auto"/>
        </w:rPr>
        <w:t>CARLYLE CLO MANAGEMENT L.L.C.</w:t>
      </w: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Catherine L. Ziobro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Catherine L. Ziobro</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Application</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364" w:right="1440" w:bottom="1440" w:gutter="0" w:footer="0" w:header="0"/>
        </w:sectPr>
      </w:pPr>
    </w:p>
    <w:bookmarkStart w:id="48" w:name="page49"/>
    <w:bookmarkEnd w:id="48"/>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CLO FUND,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Carlyle CLO Partners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2012-4,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2013-1,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2013-2,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2013-3,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2013-4,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2014-1,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2014-5,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2015-1,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2015-2,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2015-3,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2015-4,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2015-5, LTD.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GLOBAL MARKET STRATEGIES CLO</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2016-1, LTD.</w:t>
      </w: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Kriste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Kriste Rankin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Application</w:t>
      </w:r>
      <w:r>
        <w:rPr>
          <w:rFonts w:ascii="Times New Roman" w:cs="Times New Roman" w:eastAsia="Times New Roman" w:hAnsi="Times New Roman"/>
          <w:sz w:val="18"/>
          <w:szCs w:val="18"/>
          <w:color w:val="auto"/>
        </w:rPr>
        <w:t>]</w:t>
      </w:r>
    </w:p>
    <w:p>
      <w:pPr>
        <w:sectPr>
          <w:pgSz w:w="11900" w:h="16838" w:orient="portrait"/>
          <w:cols w:equalWidth="0" w:num="1">
            <w:col w:w="9780"/>
          </w:cols>
          <w:pgMar w:left="1440" w:top="270" w:right="679" w:bottom="1440" w:gutter="0" w:footer="0" w:header="0"/>
        </w:sectPr>
      </w:pPr>
    </w:p>
    <w:bookmarkStart w:id="49" w:name="page50"/>
    <w:bookmarkEnd w:id="49"/>
    <w:p>
      <w:pPr>
        <w:ind w:left="56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GLOBAL MARKET STRATEGIES CLO</w:t>
      </w:r>
    </w:p>
    <w:p>
      <w:pPr>
        <w:spacing w:after="0" w:line="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2016-2, LTD.</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Paul Belson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Paul Belson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Application</w:t>
      </w:r>
      <w:r>
        <w:rPr>
          <w:rFonts w:ascii="Times New Roman" w:cs="Times New Roman" w:eastAsia="Times New Roman" w:hAnsi="Times New Roman"/>
          <w:sz w:val="18"/>
          <w:szCs w:val="18"/>
          <w:color w:val="auto"/>
        </w:rPr>
        <w:t>]</w:t>
      </w:r>
    </w:p>
    <w:p>
      <w:pPr>
        <w:sectPr>
          <w:pgSz w:w="11900" w:h="16838" w:orient="portrait"/>
          <w:cols w:equalWidth="0" w:num="1">
            <w:col w:w="9540"/>
          </w:cols>
          <w:pgMar w:left="1440" w:top="270" w:right="919" w:bottom="1440" w:gutter="0" w:footer="0" w:header="0"/>
        </w:sectPr>
      </w:pPr>
    </w:p>
    <w:bookmarkStart w:id="50" w:name="page51"/>
    <w:bookmarkEnd w:id="50"/>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C17 CLO, LTD.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Sheraim Mascal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Sheraim Mascal</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2020-2,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2021-A, LTD.</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Dianne Farjallah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Dianne Farjallah</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2012-3,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2014-2-R,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2014-3- R,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2014-4-R,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2016-3,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2016-4,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2017-1,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2017-2,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2017-4,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2017-5,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2018-1,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2018-2,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2018-3,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2018-4,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2019-1,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2019-2,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2019-3,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2019-4,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2020-1,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2020-A, LTD.</w:t>
      </w:r>
    </w:p>
    <w:p>
      <w:pPr>
        <w:spacing w:after="0" w:line="2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17145</wp:posOffset>
            </wp:positionV>
            <wp:extent cx="23056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Application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51" w:name="page52"/>
    <w:bookmarkEnd w:id="51"/>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STRUCTURED CREDIT FUND,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STRUCTURED CREDIT COINVESTMENT,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L.P.</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Carlyle Structured Credit GP, L.P.,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Carlyle Structured Credit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Application</w:t>
      </w:r>
      <w:r>
        <w:rPr>
          <w:rFonts w:ascii="Times New Roman" w:cs="Times New Roman" w:eastAsia="Times New Roman" w:hAnsi="Times New Roman"/>
          <w:sz w:val="18"/>
          <w:szCs w:val="18"/>
          <w:color w:val="auto"/>
        </w:rPr>
        <w:t>]</w:t>
      </w:r>
    </w:p>
    <w:p>
      <w:pPr>
        <w:sectPr>
          <w:pgSz w:w="11900" w:h="16838" w:orient="portrait"/>
          <w:cols w:equalWidth="0" w:num="1">
            <w:col w:w="10040"/>
          </w:cols>
          <w:pgMar w:left="1440" w:top="270" w:right="419" w:bottom="1440" w:gutter="0" w:footer="0" w:header="0"/>
        </w:sectPr>
      </w:pPr>
    </w:p>
    <w:bookmarkStart w:id="52" w:name="page53"/>
    <w:bookmarkEnd w:id="52"/>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ENERGY MEZZANINE OPPORTUNITIES</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FUND II,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CARLYLE ENERGY MEZZANINE OPPORTUNITIES</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FUND II-A,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 COINVESTMENT,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CEMOF II MASTER CO-INVESTMENT PARTNERS, L.P.</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CEMOF II MASTER CO-INVESTMENT PARTNERS AIV</w:t>
      </w:r>
    </w:p>
    <w:p>
      <w:pPr>
        <w:spacing w:after="0" w:line="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ONE, L.P.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CEMOF II MASTER CO-INVESTMENT PARTNERS AIV,</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 AIV,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 AIV ONE,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 AIV TWO,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 AIV THREE,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 AIV FOUR,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II-A AIV,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II-A AIV ONE,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II-A AIV TWO,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II-A AIV THREE,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II-A AIV FOUR, L.P.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 II OFFSHORE INVESTORS, L.P.</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CEMOF II General Partner, L.P.,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TC Group CEMOF II,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CEMOF-A COINVESTMENT PARTNERS,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CEMOF General Partner Cayman, L.P., its general</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CEMOF GP Cayman, Ltd.,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Jeffrey W. Ferguson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Application</w:t>
      </w: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70" w:right="439" w:bottom="1440" w:gutter="0" w:footer="0" w:header="0"/>
        </w:sectPr>
      </w:pPr>
    </w:p>
    <w:bookmarkStart w:id="53" w:name="page54"/>
    <w:bookmarkEnd w:id="53"/>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CREDIT OPPORTUNITIES FUND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(PARALLEL),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CREDIT OPPORTUNITIES FUND,</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CAYMAN,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NORTH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PARALLEL AIV,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PARALLEL AIV INVESTORS,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NOTE ISSUER,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(PARALLEL) NOTE ISSUER,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GEM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CAYMAN GEM CO-</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INVESTMENT,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ONSHORE CO-BORROWER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CAYMAN, LTD.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S.à r.l.</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Gael Castex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Gael Castex</w:t>
      </w:r>
    </w:p>
    <w:p>
      <w:pPr>
        <w:spacing w:after="0" w:line="27"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S.à r.l.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GC LION S.à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SPV I S.à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MADISON JV S.a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GC ORANGE S.à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CO-INVESTMENT S.à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CO-INVESTMENT S.à r.l</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Gael Castex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Gael Castex</w:t>
      </w:r>
    </w:p>
    <w:p>
      <w:pPr>
        <w:spacing w:after="0" w:line="27"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MAIN SPV,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SPV GP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ectPr>
          <w:pgSz w:w="11900" w:h="16838" w:orient="portrait"/>
          <w:cols w:equalWidth="0" w:num="1">
            <w:col w:w="9019"/>
          </w:cols>
          <w:pgMar w:left="1440" w:top="270" w:right="1440" w:bottom="1440" w:gutter="0" w:footer="0" w:header="0"/>
        </w:sectPr>
      </w:pPr>
    </w:p>
    <w:bookmarkStart w:id="54" w:name="page55"/>
    <w:bookmarkEnd w:id="54"/>
    <w:p>
      <w:pPr>
        <w:ind w:left="5400"/>
        <w:spacing w:after="0"/>
        <w:rPr>
          <w:sz w:val="20"/>
          <w:szCs w:val="20"/>
          <w:color w:val="auto"/>
        </w:rPr>
      </w:pPr>
      <w:r>
        <w:rPr>
          <w:rFonts w:ascii="Times New Roman" w:cs="Times New Roman" w:eastAsia="Times New Roman" w:hAnsi="Times New Roman"/>
          <w:sz w:val="18"/>
          <w:szCs w:val="18"/>
          <w:color w:val="auto"/>
        </w:rPr>
        <w:t>CARLYLE TANGO RE CREDIT,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Tango RE Credit GP,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Tango,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MASTER,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(PARALLEL) II, SCSp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LUX FEEDER, SCSp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Lux General Partner, S.à r.l.,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ONSHORE SPV,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SPV GP,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MASTER CAYMAN, LTD.,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 NOTE ISSUER,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NOTE ISSUER,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Note Issuer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MASTER S.à r.l.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SPV S.à r.l.</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9019"/>
          </w:cols>
          <w:pgMar w:left="1440" w:top="364" w:right="1440" w:bottom="0" w:gutter="0" w:footer="0" w:header="0"/>
        </w:sectPr>
      </w:pPr>
    </w:p>
    <w:bookmarkStart w:id="55" w:name="page56"/>
    <w:bookmarkEnd w:id="55"/>
    <w:p>
      <w:pPr>
        <w:ind w:left="5400"/>
        <w:spacing w:after="0"/>
        <w:rPr>
          <w:sz w:val="20"/>
          <w:szCs w:val="20"/>
          <w:color w:val="auto"/>
        </w:rPr>
      </w:pPr>
      <w:r>
        <w:rPr>
          <w:rFonts w:ascii="Times New Roman" w:cs="Times New Roman" w:eastAsia="Times New Roman" w:hAnsi="Times New Roman"/>
          <w:sz w:val="18"/>
          <w:szCs w:val="18"/>
          <w:color w:val="auto"/>
        </w:rPr>
        <w:t>By: /s/ Gael Castex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Gael Castex</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STRATEGIC PARTNERS IV,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S-1B AIV,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CSP IV,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COINVESTMENT (CAYMAN),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(CAYMAN 1),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ACQUISITIONS,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(Cayman 1) General Partner,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CSP IV,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S-1 AIV,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S-1A AIV,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Strategic Partners IV,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CSP IV,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ACQUISITIONS (CAYMAN-3),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Credit Acquisitions-3 General Partner,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Credit Acquisitions-3,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-130810</wp:posOffset>
            </wp:positionV>
            <wp:extent cx="2108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ARF (Cayman 3),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ARF General Partner,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ARF Delaware 3,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-130810</wp:posOffset>
            </wp:positionV>
            <wp:extent cx="2108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121" w:right="1440" w:bottom="528"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Application</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21" w:right="1440" w:bottom="528" w:gutter="0" w:footer="0" w:header="0"/>
          <w:type w:val="continuous"/>
        </w:sectPr>
      </w:pPr>
    </w:p>
    <w:bookmarkStart w:id="56" w:name="page57"/>
    <w:bookmarkEnd w:id="56"/>
    <w:p>
      <w:pPr>
        <w:ind w:left="5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CSP IV (CAYMAN 2),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CSP IV (Cayman 2) General Partner, L.P., its general</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CSP IV (Cayman 2) GP, Ltd.,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Jeffrey W. Ferguson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CSP IV (CAYMAN 3),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CSP IV (Cayman 3) General Partner, L.P., its general</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CSP IV (Cayman 3) GP, Ltd.,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6485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Jeffrey W. Ferguson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Application</w:t>
      </w:r>
      <w:r>
        <w:rPr>
          <w:rFonts w:ascii="Times New Roman" w:cs="Times New Roman" w:eastAsia="Times New Roman" w:hAnsi="Times New Roman"/>
          <w:sz w:val="18"/>
          <w:szCs w:val="18"/>
          <w:color w:val="auto"/>
        </w:rPr>
        <w:t>]</w:t>
      </w:r>
    </w:p>
    <w:p>
      <w:pPr>
        <w:sectPr>
          <w:pgSz w:w="11900" w:h="16838" w:orient="portrait"/>
          <w:cols w:equalWidth="0" w:num="1">
            <w:col w:w="9840"/>
          </w:cols>
          <w:pgMar w:left="1440" w:top="270" w:right="619" w:bottom="1440" w:gutter="0" w:footer="0" w:header="0"/>
        </w:sectPr>
      </w:pPr>
    </w:p>
    <w:bookmarkStart w:id="57" w:name="page58"/>
    <w:bookmarkEnd w:id="57"/>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CLOVER PARTNERS,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CLOVER PARTNERS 2,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CREV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CREV General Partner,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TCG CAPITAL MARKETS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Anne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Anne Campbell</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TCG SENIOR FUNDING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Legal Officer of Global Credit</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REVOLVING LOAN FUND,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Revolving Loan GP,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GP,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CREV COINVESTMENT,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CLOVER FINANCING SPV,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GP,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GP, L.L.C.,</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CREV CAYMAN,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Revolving Loan GP,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GP,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ectPr>
          <w:pgSz w:w="11900" w:h="16838" w:orient="portrait"/>
          <w:cols w:equalWidth="0" w:num="1">
            <w:col w:w="9019"/>
          </w:cols>
          <w:pgMar w:left="1440" w:top="270" w:right="1440" w:bottom="1440" w:gutter="0" w:footer="0" w:header="0"/>
        </w:sectPr>
      </w:pPr>
    </w:p>
    <w:bookmarkStart w:id="58" w:name="page59"/>
    <w:bookmarkEnd w:id="58"/>
    <w:p>
      <w:pPr>
        <w:ind w:left="5400"/>
        <w:spacing w:after="0"/>
        <w:rPr>
          <w:sz w:val="20"/>
          <w:szCs w:val="20"/>
          <w:color w:val="auto"/>
        </w:rPr>
      </w:pPr>
      <w:r>
        <w:rPr>
          <w:rFonts w:ascii="Times New Roman" w:cs="Times New Roman" w:eastAsia="Times New Roman" w:hAnsi="Times New Roman"/>
          <w:sz w:val="18"/>
          <w:szCs w:val="18"/>
          <w:color w:val="auto"/>
        </w:rPr>
        <w:t>CARLYLE INFRASTRUCTURE CREDIT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FUND, L.P.,</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BRAVO OPPORTUNISTIC</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CREDIT PARTNERSHIP,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BRAVO OPPORTUNISTIC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CREDIT FEEDER,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TCG Bravo Credit GP, Ltd.,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CELF ADVISORS LLP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CELF,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Kristie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Kristie Weaver</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2013-1 DAC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2014-2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2014-3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2015-2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2016-2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2017-1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2017-2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2017-3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2018-1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2019-2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2020-2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2021-1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2021-2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2021-3 DAC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Martin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Martin Carr</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364" w:right="1440" w:bottom="1440" w:gutter="0" w:footer="0" w:header="0"/>
        </w:sectPr>
      </w:pPr>
    </w:p>
    <w:bookmarkStart w:id="59" w:name="page60"/>
    <w:bookmarkEnd w:id="59"/>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2014-1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2015-1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2015-3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2018-2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2019-1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2020-1 DAC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Stephen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Stephen Healy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2016-1 DAC</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Jane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Jane McCullough</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2021-3S,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2021-5,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2021-6,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2021-7,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2021-8,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2021-10,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2021-9,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2021-11,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2021-J,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2022-A,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2022-B, LTD.</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John Fawkes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John Fawkes</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CICF COINVESTMENT, L.P.</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0" w:lineRule="exact"/>
        <w:rPr>
          <w:sz w:val="20"/>
          <w:szCs w:val="20"/>
          <w:color w:val="auto"/>
        </w:rPr>
      </w:pPr>
    </w:p>
    <w:p>
      <w:pPr>
        <w:spacing w:after="0" w:line="2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INFRASTRUCTURE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FUND NOTE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ISSUER,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NOTE ISSUER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CICF LUX FEEDER,</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SCSP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LUX GP,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S.à.r.l.,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ectPr>
          <w:pgSz w:w="11900" w:h="16838" w:orient="portrait"/>
          <w:cols w:equalWidth="0" w:num="1">
            <w:col w:w="9019"/>
          </w:cols>
          <w:pgMar w:left="1440" w:top="364" w:right="1440" w:bottom="0" w:gutter="0" w:footer="0" w:header="0"/>
        </w:sectPr>
      </w:pPr>
    </w:p>
    <w:bookmarkStart w:id="60" w:name="page61"/>
    <w:bookmarkEnd w:id="60"/>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2,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2,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3,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4,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CCOF General partner, L.P., its general</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3,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4,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3,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BRAVO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3,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4,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2, SCSP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SCSP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PARALLEL AIV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SCSP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LUX</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S.à r.l.,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9019"/>
          </w:cols>
          <w:pgMar w:left="1440" w:top="121" w:right="1440" w:bottom="0" w:gutter="0" w:footer="0" w:header="0"/>
        </w:sectPr>
      </w:pPr>
    </w:p>
    <w:bookmarkStart w:id="61" w:name="page62"/>
    <w:bookmarkEnd w:id="61"/>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PROJECT MEDIACO,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PROJECT HARMONY,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HOLDINGS,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2</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HOLDINGS,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 II-N,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 II-</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 MAIN,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CCOF II General Partner, L.P., its general</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SPINNAKER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PARTNERS 2,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SPINNAKER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PARTNERS 2 MAIN,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SPINNAKER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PARTNERS 2 GP, L.L.C., its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REVOLVING</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LOAN FUND II,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CREV II CAYMAN,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CREV General Partner, L.P., its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II GP, L.L.C.,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DIRECT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LENDING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(LEVERED),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DIRECT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LENDING FUND,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DIRECT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LENDING FUND GP,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121" w:right="1440" w:bottom="834" w:gutter="0" w:footer="0" w:header="0"/>
        </w:sectPr>
      </w:pPr>
    </w:p>
    <w:bookmarkStart w:id="62" w:name="page63"/>
    <w:bookmarkEnd w:id="62"/>
    <w:p>
      <w:pPr>
        <w:ind w:left="5400"/>
        <w:spacing w:after="0"/>
        <w:rPr>
          <w:sz w:val="20"/>
          <w:szCs w:val="20"/>
          <w:color w:val="auto"/>
        </w:rPr>
      </w:pPr>
      <w:r>
        <w:rPr>
          <w:rFonts w:ascii="Times New Roman" w:cs="Times New Roman" w:eastAsia="Times New Roman" w:hAnsi="Times New Roman"/>
          <w:sz w:val="18"/>
          <w:szCs w:val="18"/>
          <w:color w:val="auto"/>
        </w:rPr>
        <w:t>CARLYLE FALCON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STRUCTURED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SOLUTIONS, L.L.C.</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FALCON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STRUCTURED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SOLUTIONS MANAGER,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AURORA</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INFRASTRUCTURE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PARTNERS,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TCG AURORA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GP LTD.,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INFRASTRUCTURE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FUND (LEVERED),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 L.P., its 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CREV II COINVESTMENT, L.P.</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REVOLVING LOAN II GP, L.P., its general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REVOLVING LOAN II GP, L.L.C., its general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ONTARIO</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PARTNERSHIP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DIRECT LENDING SPV,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TCG OPT CREDIT SPV</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GP, LTD.,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SKYLINE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FUND, AIV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SKYLINE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FUND GP, L.P., its 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SKYLINE CREDIT FUND GP,</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ectPr>
          <w:pgSz w:w="11900" w:h="16838" w:orient="portrait"/>
          <w:cols w:equalWidth="0" w:num="1">
            <w:col w:w="9019"/>
          </w:cols>
          <w:pgMar w:left="1440" w:top="121" w:right="1440" w:bottom="0" w:gutter="0" w:footer="0" w:header="0"/>
        </w:sectPr>
      </w:pPr>
    </w:p>
    <w:bookmarkStart w:id="63" w:name="page64"/>
    <w:bookmarkEnd w:id="63"/>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PARALLEL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IRVING AIV INVESTORS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(LUX), SCSP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LUX FEEDER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IRVING AIV, SCSP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LUX</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S.a.r.l.,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PARALLEL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IRVING AIV INVESTORS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(DE),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IRVING</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AIV 2,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IRVING</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AIV,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 L.P., its general partner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BRAWN AIV,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BRAWN COINVEST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ELECTING INVESTORS,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COINVEST BRAWN</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COINVEST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BRAWN,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(PARALLEL) AIV I,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 L.P., its 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CSP IV,</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ectPr>
          <w:pgSz w:w="11900" w:h="16838" w:orient="portrait"/>
          <w:cols w:equalWidth="0" w:num="1">
            <w:col w:w="9019"/>
          </w:cols>
          <w:pgMar w:left="1440" w:top="121" w:right="1440" w:bottom="172" w:gutter="0" w:footer="0" w:header="0"/>
        </w:sectPr>
      </w:pPr>
    </w:p>
    <w:bookmarkStart w:id="64" w:name="page65"/>
    <w:bookmarkEnd w:id="64"/>
    <w:p>
      <w:pPr>
        <w:ind w:left="5400"/>
        <w:spacing w:after="0"/>
        <w:rPr>
          <w:sz w:val="20"/>
          <w:szCs w:val="20"/>
          <w:color w:val="auto"/>
        </w:rPr>
      </w:pPr>
      <w:r>
        <w:rPr>
          <w:rFonts w:ascii="Times New Roman" w:cs="Times New Roman" w:eastAsia="Times New Roman" w:hAnsi="Times New Roman"/>
          <w:sz w:val="18"/>
          <w:szCs w:val="18"/>
          <w:color w:val="auto"/>
        </w:rPr>
        <w:t>CARLYLE TANGO RE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SPLITTER,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TANGO RE CREDIT GP,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TANGO, L.L.C., its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CEDAR INFRASTRUCTURE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PARTNERS,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TCG CEDAR CREDIT GP LTD., its general</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AURORA REVOLVING LOAN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AURORA REVOLVING LOAN</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 GP, L.P., its 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AURORA REVOLVING LOAN</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 GP, 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DIRECT LENDING DRAWDOWN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 2022-1 PARTNERSHIP,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DIRECT LENDING</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DRAWDOWN CLO 20222-1 GP, L.L.C., its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2022-F,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2022-G,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2022-H, LTD.</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John Fawkes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John Fawkes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121" w:right="1440" w:bottom="1440" w:gutter="0" w:footer="0" w:header="0"/>
        </w:sectPr>
      </w:pPr>
    </w:p>
    <w:bookmarkStart w:id="65" w:name="page66"/>
    <w:bookmarkEnd w:id="65"/>
    <w:p>
      <w:pPr>
        <w:ind w:left="5400"/>
        <w:spacing w:after="0"/>
        <w:rPr>
          <w:sz w:val="20"/>
          <w:szCs w:val="20"/>
          <w:color w:val="auto"/>
        </w:rPr>
      </w:pPr>
      <w:r>
        <w:rPr>
          <w:rFonts w:ascii="Times New Roman" w:cs="Times New Roman" w:eastAsia="Times New Roman" w:hAnsi="Times New Roman"/>
          <w:sz w:val="18"/>
          <w:szCs w:val="18"/>
          <w:color w:val="auto"/>
        </w:rPr>
        <w:t>CBAM 2017-1,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2017-2,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2017-3,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2017-4,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2018-5,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2018-6,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2018-7,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2018-8,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2019-9,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2019-10,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2019-11R,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2020-12,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2020-13,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2020-13,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2021-14,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2021-15, LLC</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CBAM CLO Management LLC, its portfolio</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III, L.P.</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III (PARALLEL), SCSP</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Lux General Partner, S.à r.l.,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III PLUS, L.P.</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General Plus Partner,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Plus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III PLUS (PARALLEL), SCSP</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Plus Lux General Partner, S.à r.l.,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-130810</wp:posOffset>
            </wp:positionV>
            <wp:extent cx="2108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9019"/>
          </w:cols>
          <w:pgMar w:left="1440" w:top="121" w:right="1440" w:bottom="96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Application]</w:t>
      </w:r>
    </w:p>
    <w:p>
      <w:pPr>
        <w:sectPr>
          <w:pgSz w:w="11900" w:h="16838" w:orient="portrait"/>
          <w:cols w:equalWidth="0" w:num="1">
            <w:col w:w="9019"/>
          </w:cols>
          <w:pgMar w:left="1440" w:top="121" w:right="1440" w:bottom="96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Existing Affiliated Funds are part of the following seven investment strategies of the Carlyle Global Credit segment.</w:t>
      </w:r>
    </w:p>
    <w:p>
      <w:pPr>
        <w:spacing w:after="0" w:line="225" w:lineRule="exact"/>
        <w:rPr>
          <w:sz w:val="20"/>
          <w:szCs w:val="20"/>
          <w:color w:val="auto"/>
        </w:rPr>
      </w:pPr>
    </w:p>
    <w:p>
      <w:pPr>
        <w:ind w:left="560" w:hanging="190"/>
        <w:spacing w:after="0"/>
        <w:tabs>
          <w:tab w:leader="none" w:pos="5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279" w:firstLine="800"/>
        <w:spacing w:after="0" w:line="282" w:lineRule="auto"/>
        <w:tabs>
          <w:tab w:leader="none" w:pos="107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entity within Private Credit is a Cayman Islands limited liability company and is advised by CGCIM (the “</w:t>
      </w:r>
      <w:r>
        <w:rPr>
          <w:rFonts w:ascii="Times New Roman" w:cs="Times New Roman" w:eastAsia="Times New Roman" w:hAnsi="Times New Roman"/>
          <w:sz w:val="18"/>
          <w:szCs w:val="18"/>
          <w:b w:val="1"/>
          <w:bCs w:val="1"/>
          <w:i w:val="1"/>
          <w:iCs w:val="1"/>
          <w:color w:val="auto"/>
        </w:rPr>
        <w:t>Private Credit Existing CGCIM-Advised Fund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 UNI LLC</w:t>
      </w:r>
    </w:p>
    <w:p>
      <w:pPr>
        <w:spacing w:after="0" w:line="221" w:lineRule="exact"/>
        <w:rPr>
          <w:rFonts w:ascii="Times New Roman" w:cs="Times New Roman" w:eastAsia="Times New Roman" w:hAnsi="Times New Roman"/>
          <w:sz w:val="18"/>
          <w:szCs w:val="18"/>
          <w:color w:val="auto"/>
        </w:rPr>
      </w:pPr>
    </w:p>
    <w:p>
      <w:pPr>
        <w:ind w:left="20" w:right="299" w:firstLine="800"/>
        <w:spacing w:after="0" w:line="262" w:lineRule="auto"/>
        <w:tabs>
          <w:tab w:leader="none" w:pos="108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entities within Private Credit is advised by CGCIM (the “</w:t>
      </w:r>
      <w:r>
        <w:rPr>
          <w:rFonts w:ascii="Times New Roman" w:cs="Times New Roman" w:eastAsia="Times New Roman" w:hAnsi="Times New Roman"/>
          <w:sz w:val="18"/>
          <w:szCs w:val="18"/>
          <w:b w:val="1"/>
          <w:bCs w:val="1"/>
          <w:i w:val="1"/>
          <w:iCs w:val="1"/>
          <w:color w:val="auto"/>
        </w:rPr>
        <w:t>Private Credit Existing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Non-CGCIM-Advised Funds</w:t>
      </w:r>
      <w:r>
        <w:rPr>
          <w:rFonts w:ascii="Times New Roman" w:cs="Times New Roman" w:eastAsia="Times New Roman" w:hAnsi="Times New Roman"/>
          <w:sz w:val="18"/>
          <w:szCs w:val="18"/>
          <w:color w:val="auto"/>
        </w:rPr>
        <w:t>” and, together with the Private Credit Existing CGCIM-Advised Fund, the “</w:t>
      </w:r>
      <w:r>
        <w:rPr>
          <w:rFonts w:ascii="Times New Roman" w:cs="Times New Roman" w:eastAsia="Times New Roman" w:hAnsi="Times New Roman"/>
          <w:sz w:val="18"/>
          <w:szCs w:val="18"/>
          <w:b w:val="1"/>
          <w:bCs w:val="1"/>
          <w:i w:val="1"/>
          <w:iCs w:val="1"/>
          <w:color w:val="auto"/>
        </w:rPr>
        <w:t>Private Credit Existing Affiliated Funds</w:t>
      </w:r>
      <w:r>
        <w:rPr>
          <w:rFonts w:ascii="Times New Roman" w:cs="Times New Roman" w:eastAsia="Times New Roman" w:hAnsi="Times New Roman"/>
          <w:sz w:val="18"/>
          <w:szCs w:val="18"/>
          <w:color w:val="auto"/>
        </w:rPr>
        <w:t>”). MC UNI Subsidiary LLC is a Cayman Islands limited liability company. CPC V, LP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limited partnership. CPC V SPV LLC is a Delaware limited liability company.</w:t>
      </w:r>
    </w:p>
    <w:p>
      <w:pPr>
        <w:spacing w:after="0" w:line="85"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 UNI Subsidiary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 UNI Subsidiary II (Blocker)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V SPV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CDL 2018-1,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CDL 2018-1 SPV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CDL 2018-2,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Ontario Credit Partnership,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Ontario Credit SLP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Ontario Credit Special Limited Partner,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Skyline Credit Fund,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CDL 2020-3,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Ontario Credit Partnership Direct Lending SPV,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Skyline Credit Fund, AIV L.P.</w:t>
      </w:r>
    </w:p>
    <w:p>
      <w:pPr>
        <w:spacing w:after="0" w:line="225" w:lineRule="exact"/>
        <w:rPr>
          <w:rFonts w:ascii="Times New Roman" w:cs="Times New Roman" w:eastAsia="Times New Roman" w:hAnsi="Times New Roman"/>
          <w:sz w:val="18"/>
          <w:szCs w:val="18"/>
          <w:color w:val="auto"/>
        </w:rPr>
      </w:pPr>
    </w:p>
    <w:p>
      <w:pPr>
        <w:ind w:left="560" w:hanging="190"/>
        <w:spacing w:after="0"/>
        <w:tabs>
          <w:tab w:leader="none" w:pos="5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and Structured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299" w:firstLine="800"/>
        <w:spacing w:after="0" w:line="282" w:lineRule="auto"/>
        <w:tabs>
          <w:tab w:leader="none" w:pos="107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entities within Loans and Structured Credit is a Cayman Islands exempted company and is a CLO entity managed by Carlyle CLO Manager (collectively, the “</w:t>
      </w:r>
      <w:r>
        <w:rPr>
          <w:rFonts w:ascii="Times New Roman" w:cs="Times New Roman" w:eastAsia="Times New Roman" w:hAnsi="Times New Roman"/>
          <w:sz w:val="18"/>
          <w:szCs w:val="18"/>
          <w:b w:val="1"/>
          <w:bCs w:val="1"/>
          <w:i w:val="1"/>
          <w:iCs w:val="1"/>
          <w:color w:val="auto"/>
        </w:rPr>
        <w:t>Structured Credit Existing CLOs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2012-3,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2012-4,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2013-1,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2013-2,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2013-3,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2013-4,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2014-1,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2014-2-R,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2014-3-R,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2014-4-R,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2014-5,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2015-1,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2015-2,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2015-3,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2015-4,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CLO 2015-5, Ltd.</w:t>
      </w:r>
    </w:p>
    <w:p>
      <w:pPr>
        <w:sectPr>
          <w:pgSz w:w="11900" w:h="16838" w:orient="portrait"/>
          <w:cols w:equalWidth="0" w:num="1">
            <w:col w:w="9019"/>
          </w:cols>
          <w:pgMar w:left="1440" w:top="266" w:right="1440" w:bottom="1440" w:gutter="0" w:footer="0" w:header="0"/>
        </w:sectPr>
      </w:pPr>
    </w:p>
    <w:bookmarkStart w:id="67" w:name="page68"/>
    <w:bookmarkEnd w:id="67"/>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620" w:hanging="448"/>
        <w:spacing w:after="0"/>
        <w:tabs>
          <w:tab w:leader="none" w:pos="1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Global Market Strategies CLO 2016-1, Ltd.</w:t>
      </w:r>
    </w:p>
    <w:p>
      <w:pPr>
        <w:spacing w:after="0" w:line="142" w:lineRule="exact"/>
        <w:rPr>
          <w:rFonts w:ascii="Times New Roman" w:cs="Times New Roman" w:eastAsia="Times New Roman" w:hAnsi="Times New Roman"/>
          <w:sz w:val="17"/>
          <w:szCs w:val="17"/>
          <w:color w:val="auto"/>
        </w:rPr>
      </w:pPr>
    </w:p>
    <w:p>
      <w:pPr>
        <w:ind w:left="1620" w:hanging="448"/>
        <w:spacing w:after="0"/>
        <w:tabs>
          <w:tab w:leader="none" w:pos="1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Global Market Strategies CLO 2016-2, Ltd.</w:t>
      </w:r>
    </w:p>
    <w:p>
      <w:pPr>
        <w:spacing w:after="0" w:line="142" w:lineRule="exact"/>
        <w:rPr>
          <w:rFonts w:ascii="Times New Roman" w:cs="Times New Roman" w:eastAsia="Times New Roman" w:hAnsi="Times New Roman"/>
          <w:sz w:val="17"/>
          <w:szCs w:val="17"/>
          <w:color w:val="auto"/>
        </w:rPr>
      </w:pPr>
    </w:p>
    <w:p>
      <w:pPr>
        <w:ind w:left="1620" w:hanging="448"/>
        <w:spacing w:after="0"/>
        <w:tabs>
          <w:tab w:leader="none" w:pos="16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Global Market Strategies CLO 2016-3, Ltd.</w:t>
      </w:r>
    </w:p>
    <w:p>
      <w:pPr>
        <w:spacing w:after="0" w:line="142" w:lineRule="exact"/>
        <w:rPr>
          <w:rFonts w:ascii="Times New Roman" w:cs="Times New Roman" w:eastAsia="Times New Roman" w:hAnsi="Times New Roman"/>
          <w:sz w:val="17"/>
          <w:szCs w:val="17"/>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2016-4,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2017-1,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2017-2,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2017-3,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2017-4,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2017-5,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2018-1,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2018-2,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2018-3,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2018-4,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2019-1,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2019-2,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2019-3,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2019-4,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2020-1,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2020-A,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CLO Fund,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Clover Partners,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Clover Partners 2,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Revolving Loan Fund,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CREV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CREV Cayman,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C17 CLO,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2020-2,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2021-A,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2021-3S,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2021-5,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2021-6,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2021-7,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2021-8,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2021-10,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2021-9,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2021-11,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2021-J,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2022-A,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2022-B,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Mediaco,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Bravo Credit Investor,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Harmony,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Spinnaker Partners 2,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Spinnaker Partners 2 Main,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CREV II Cayman,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Falcon Structured Solutions,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CREV II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Aurora Revolving Loan Fund, L.P.</w:t>
      </w:r>
    </w:p>
    <w:p>
      <w:pPr>
        <w:sectPr>
          <w:pgSz w:w="11900" w:h="16877" w:orient="portrait"/>
          <w:cols w:equalWidth="0" w:num="1">
            <w:col w:w="9019"/>
          </w:cols>
          <w:pgMar w:left="1440" w:top="270" w:right="1440" w:bottom="0" w:gutter="0" w:footer="0" w:header="0"/>
        </w:sectPr>
      </w:pPr>
    </w:p>
    <w:bookmarkStart w:id="68" w:name="page69"/>
    <w:bookmarkEnd w:id="68"/>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Direct Lending Drawdown CLO 2022-1 Partnership,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2022-F,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2017-1,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2017-2,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2017-3,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2017-4,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2017-4,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2018-5,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2018-6,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2018-7,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2018-8,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2019-9,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2019-10,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2019-11R,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2020-12,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2020-13,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2020-13,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2021-14,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CBAM 2021-15,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2022-G,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US CLO 2022-H,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Direct Lending CLO 2015-1R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Direct Lending Fund (Levered),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Direct Lending Fund,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Revolving Loan Fund II, L.P.</w:t>
      </w:r>
    </w:p>
    <w:p>
      <w:pPr>
        <w:spacing w:after="0" w:line="225" w:lineRule="exact"/>
        <w:rPr>
          <w:rFonts w:ascii="Times New Roman" w:cs="Times New Roman" w:eastAsia="Times New Roman" w:hAnsi="Times New Roman"/>
          <w:sz w:val="18"/>
          <w:szCs w:val="18"/>
          <w:color w:val="auto"/>
        </w:rPr>
      </w:pPr>
    </w:p>
    <w:p>
      <w:pPr>
        <w:ind w:left="20" w:right="319" w:firstLine="800"/>
        <w:spacing w:after="0" w:line="266" w:lineRule="auto"/>
        <w:tabs>
          <w:tab w:leader="none" w:pos="108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entity within Loans and Structured Credit is a Cayman Islands limited partnership that is advised by CGCIM (the “</w:t>
      </w:r>
      <w:r>
        <w:rPr>
          <w:rFonts w:ascii="Times New Roman" w:cs="Times New Roman" w:eastAsia="Times New Roman" w:hAnsi="Times New Roman"/>
          <w:sz w:val="18"/>
          <w:szCs w:val="18"/>
          <w:b w:val="1"/>
          <w:bCs w:val="1"/>
          <w:i w:val="1"/>
          <w:iCs w:val="1"/>
          <w:color w:val="auto"/>
        </w:rPr>
        <w:t>Structured Credit Existing Non-CLO Fund</w:t>
      </w:r>
      <w:r>
        <w:rPr>
          <w:rFonts w:ascii="Times New Roman" w:cs="Times New Roman" w:eastAsia="Times New Roman" w:hAnsi="Times New Roman"/>
          <w:sz w:val="18"/>
          <w:szCs w:val="18"/>
          <w:color w:val="auto"/>
        </w:rPr>
        <w:t>” and, together with the Structured Credit Existing CLOs, the “</w:t>
      </w:r>
      <w:r>
        <w:rPr>
          <w:rFonts w:ascii="Times New Roman" w:cs="Times New Roman" w:eastAsia="Times New Roman" w:hAnsi="Times New Roman"/>
          <w:sz w:val="18"/>
          <w:szCs w:val="18"/>
          <w:b w:val="1"/>
          <w:bCs w:val="1"/>
          <w:i w:val="1"/>
          <w:iCs w:val="1"/>
          <w:color w:val="auto"/>
        </w:rPr>
        <w:t>Structured Credit Existing Affiliated Funds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Structured Credit Fund,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Structured Credit Coinvestment, L.P.</w:t>
      </w:r>
    </w:p>
    <w:p>
      <w:pPr>
        <w:spacing w:after="0" w:line="225" w:lineRule="exact"/>
        <w:rPr>
          <w:rFonts w:ascii="Times New Roman" w:cs="Times New Roman" w:eastAsia="Times New Roman" w:hAnsi="Times New Roman"/>
          <w:sz w:val="18"/>
          <w:szCs w:val="18"/>
          <w:color w:val="auto"/>
        </w:rPr>
      </w:pPr>
    </w:p>
    <w:p>
      <w:pPr>
        <w:ind w:left="20" w:right="239" w:firstLine="350"/>
        <w:spacing w:after="0" w:line="258" w:lineRule="auto"/>
        <w:tabs>
          <w:tab w:leader="none" w:pos="55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Energy Credit</w:t>
      </w:r>
      <w:r>
        <w:rPr>
          <w:rFonts w:ascii="Times New Roman" w:cs="Times New Roman" w:eastAsia="Times New Roman" w:hAnsi="Times New Roman"/>
          <w:sz w:val="18"/>
          <w:szCs w:val="18"/>
          <w:color w:val="auto"/>
        </w:rPr>
        <w:t>: Each of the following entities within Energy Credit is a Delaware limited partnership, except that each of Carlyle Energy Mezzanine Opportunities Fund II-A, L.P., CEMOF-A Coinvestment Partners, L.P., CEMOF II-A AIV, L.P., CEMOF II-A AIV One, L.P. and CEMOF II-A AIV Two, L.P. is a Cayman Islands limited partnership. Each of the following entities within Energy Credit is advised by CGCIM (each an “</w:t>
      </w:r>
      <w:r>
        <w:rPr>
          <w:rFonts w:ascii="Times New Roman" w:cs="Times New Roman" w:eastAsia="Times New Roman" w:hAnsi="Times New Roman"/>
          <w:sz w:val="18"/>
          <w:szCs w:val="18"/>
          <w:b w:val="1"/>
          <w:bCs w:val="1"/>
          <w:i w:val="1"/>
          <w:iCs w:val="1"/>
          <w:color w:val="auto"/>
        </w:rPr>
        <w:t>Energy Credit Affiliated Fund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Energy Credit Existing Affiliated Funds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Energy Mezzanine Opportunities Fund II,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Energy Mezzanine Opportunities Fund II-A,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Master Co-Investment Partners,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Master Co-Investment Partners AIV One,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Master Co-Investment Partners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CEMOF-A Coinvestment Partners,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AIV One,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AIV Two,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AIV Three,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AIV Four,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II-A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II-A AIV One,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II-A AIV Two, L.P.</w:t>
      </w:r>
    </w:p>
    <w:p>
      <w:pPr>
        <w:sectPr>
          <w:pgSz w:w="11900" w:h="16838" w:orient="portrait"/>
          <w:cols w:equalWidth="0" w:num="1">
            <w:col w:w="9019"/>
          </w:cols>
          <w:pgMar w:left="1440" w:top="243" w:right="1440" w:bottom="0" w:gutter="0" w:footer="0" w:header="0"/>
        </w:sectPr>
      </w:pPr>
    </w:p>
    <w:bookmarkStart w:id="69" w:name="page70"/>
    <w:bookmarkEnd w:id="69"/>
    <w:p>
      <w:pPr>
        <w:ind w:left="1620" w:hanging="448"/>
        <w:spacing w:after="0"/>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II-A AIV Three,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II-A AIV Four,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CEMOF II Offshore Investors, 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121" w:right="1440" w:bottom="1440" w:gutter="0" w:footer="0" w:header="0"/>
        </w:sectPr>
      </w:pPr>
    </w:p>
    <w:bookmarkStart w:id="70" w:name="page71"/>
    <w:bookmarkEnd w:id="70"/>
    <w:p>
      <w:pPr>
        <w:ind w:left="20" w:right="159" w:firstLine="350"/>
        <w:spacing w:after="0" w:line="256" w:lineRule="auto"/>
        <w:tabs>
          <w:tab w:leader="none" w:pos="55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Opportunistic Credit</w:t>
      </w:r>
      <w:r>
        <w:rPr>
          <w:rFonts w:ascii="Times New Roman" w:cs="Times New Roman" w:eastAsia="Times New Roman" w:hAnsi="Times New Roman"/>
          <w:sz w:val="18"/>
          <w:szCs w:val="18"/>
          <w:color w:val="auto"/>
        </w:rPr>
        <w:t>: Each of the following entities within Opportunistic Credit is a Delaware limited partnership, except that CCOF Parallel AIV Investors, L.L.C. is a Delaware limited liability company and CCOF S.à r.l., CCOF Master S.à r.l.,GC Lion S.à r.l., CCOF SPV I S.à r.l., CCOF Madison JV S.a r.l., GC Orange S.à r.l., CCOF Master Co-Investment S.à r.l. and CCOF Co-Investment S.à r.l are each Luxembourg companies. Each of the following entities is advised by CGCIM (each an “</w:t>
      </w:r>
      <w:r>
        <w:rPr>
          <w:rFonts w:ascii="Times New Roman" w:cs="Times New Roman" w:eastAsia="Times New Roman" w:hAnsi="Times New Roman"/>
          <w:sz w:val="18"/>
          <w:szCs w:val="18"/>
          <w:b w:val="1"/>
          <w:bCs w:val="1"/>
          <w:i w:val="1"/>
          <w:iCs w:val="1"/>
          <w:color w:val="auto"/>
        </w:rPr>
        <w:t>Opportunistic Credit Affiliated Fund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Opportunistic Credit Existing 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Funds</w:t>
      </w:r>
      <w:r>
        <w:rPr>
          <w:rFonts w:ascii="Times New Roman" w:cs="Times New Roman" w:eastAsia="Times New Roman" w:hAnsi="Times New Roman"/>
          <w:sz w:val="18"/>
          <w:szCs w:val="18"/>
          <w:color w:val="auto"/>
        </w:rPr>
        <w:t>”).</w:t>
      </w:r>
    </w:p>
    <w:p>
      <w:pPr>
        <w:spacing w:after="0" w:line="92"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Cayman,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North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Note Issuer,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Note Issuer,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Gem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Master Cayman Gem Co-Investment,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Onshore Co-Borrower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Master Cayman,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Master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 Lion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SPV I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Madison JV S.a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 Orange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Master Co-Investment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Co-Investment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Main SPV,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Tango Re Credit,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II,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SCSp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Ii Note Issuer,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Lux Feeder, SCSp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Note Issuer,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Master,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master cayman, ltd.</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Onshore SPV,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Master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SPV S.à r.l.</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Master,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Parallel AIV Investors,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Parallel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Bravo Opportunistic Credit Partnership,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Bravo Opportunistic Credit Feeder,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CICF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AIV Investors,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AIV 2,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AIV Investors 2,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AIV 3,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AIV 4, L.P.</w:t>
      </w:r>
    </w:p>
    <w:p>
      <w:pPr>
        <w:sectPr>
          <w:pgSz w:w="11900" w:h="16838" w:orient="portrait"/>
          <w:cols w:equalWidth="0" w:num="1">
            <w:col w:w="9019"/>
          </w:cols>
          <w:pgMar w:left="1440" w:top="270" w:right="1440" w:bottom="0" w:gutter="0" w:footer="0" w:header="0"/>
        </w:sectPr>
      </w:pPr>
    </w:p>
    <w:bookmarkStart w:id="71" w:name="page72"/>
    <w:bookmarkEnd w:id="71"/>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AIV Investors 3,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AIV Investors 4,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AIV 3,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AIV 4,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AIV Investors 3,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CICF Lux Feeder, SCSp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AIV 2, SCSp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AIV, SCSp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Parallel AIV Investors, SCSp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AIV Holdings,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AIV 2 Holdings,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II-N,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II-N Main,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Parallel Irving AIV Investors (Lux), SCSp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Lux Feeder Irving AIV, SCSp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CCOF II Parallel Irving AIV Investors (DE), L.L.C.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Irving AIV 2,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(Parallel) II Irving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Tango RE Credit Splitter,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III,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III,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III Plus,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Credit Opportunities Fund III Plus (Parallel), SCSp</w:t>
      </w:r>
    </w:p>
    <w:p>
      <w:pPr>
        <w:spacing w:after="0" w:line="225" w:lineRule="exact"/>
        <w:rPr>
          <w:rFonts w:ascii="Times New Roman" w:cs="Times New Roman" w:eastAsia="Times New Roman" w:hAnsi="Times New Roman"/>
          <w:sz w:val="18"/>
          <w:szCs w:val="18"/>
          <w:color w:val="auto"/>
        </w:rPr>
      </w:pPr>
    </w:p>
    <w:p>
      <w:pPr>
        <w:ind w:left="20" w:right="259" w:firstLine="350"/>
        <w:spacing w:after="0" w:line="261" w:lineRule="auto"/>
        <w:tabs>
          <w:tab w:leader="none" w:pos="55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Distressed Credit</w:t>
      </w:r>
      <w:r>
        <w:rPr>
          <w:rFonts w:ascii="Times New Roman" w:cs="Times New Roman" w:eastAsia="Times New Roman" w:hAnsi="Times New Roman"/>
          <w:sz w:val="18"/>
          <w:szCs w:val="18"/>
          <w:color w:val="auto"/>
        </w:rPr>
        <w:t>: Each of the following entities within Distressed Credit is a Cayman Islands limited partnership, except that each of Carlyle Strategic Partners IV, L.P. and CSP IV Coinvestment, L.P. is a Delaware limited partnership. Each of the following entities is advised by CGCIM (each a “</w:t>
      </w:r>
      <w:r>
        <w:rPr>
          <w:rFonts w:ascii="Times New Roman" w:cs="Times New Roman" w:eastAsia="Times New Roman" w:hAnsi="Times New Roman"/>
          <w:sz w:val="18"/>
          <w:szCs w:val="18"/>
          <w:b w:val="1"/>
          <w:bCs w:val="1"/>
          <w:i w:val="1"/>
          <w:iCs w:val="1"/>
          <w:color w:val="auto"/>
        </w:rPr>
        <w:t>Distressed Credit Affiliated Fund</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Distressed Credit Existing Affiliated Funds</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Strategic Partners 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Coinvestment,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Coinvestment (Cayman),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(Cayman 1),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Acquisitions,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S-1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S-1A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S-1B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Acquisitions (Cayman-3),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ARF (Cayman 3),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(Cayman 2),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(Cayman 3),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Clover Financing SPV,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Brawn AIV,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Brawn Coinvest Electing Investors,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Coinvest Brawn Investors,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Coinvest Brawn,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(Parallel) AIV I,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CSP IV Credit Investor, LLC</w:t>
      </w:r>
    </w:p>
    <w:p>
      <w:pPr>
        <w:spacing w:after="0" w:line="225" w:lineRule="exact"/>
        <w:rPr>
          <w:rFonts w:ascii="Times New Roman" w:cs="Times New Roman" w:eastAsia="Times New Roman" w:hAnsi="Times New Roman"/>
          <w:sz w:val="18"/>
          <w:szCs w:val="18"/>
          <w:color w:val="auto"/>
        </w:rPr>
      </w:pPr>
    </w:p>
    <w:p>
      <w:pPr>
        <w:jc w:val="both"/>
        <w:ind w:left="20" w:right="119" w:firstLine="350"/>
        <w:spacing w:after="0" w:line="289" w:lineRule="auto"/>
        <w:tabs>
          <w:tab w:leader="none" w:pos="55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European CLOs</w:t>
      </w:r>
      <w:r>
        <w:rPr>
          <w:rFonts w:ascii="Times New Roman" w:cs="Times New Roman" w:eastAsia="Times New Roman" w:hAnsi="Times New Roman"/>
          <w:sz w:val="17"/>
          <w:szCs w:val="17"/>
          <w:color w:val="auto"/>
        </w:rPr>
        <w:t>: Each of the following entities within the European CLOs is a designated activity company formed in the Ireland, except that Carlyle Global Market Strategies Euro CLO 2013-1 B.V. is a Dutch entity. Each of the following entities is currently advised by the European Manager (each, a “</w:t>
      </w:r>
      <w:r>
        <w:rPr>
          <w:rFonts w:ascii="Times New Roman" w:cs="Times New Roman" w:eastAsia="Times New Roman" w:hAnsi="Times New Roman"/>
          <w:sz w:val="17"/>
          <w:szCs w:val="17"/>
          <w:b w:val="1"/>
          <w:bCs w:val="1"/>
          <w:i w:val="1"/>
          <w:iCs w:val="1"/>
          <w:color w:val="auto"/>
        </w:rPr>
        <w:t>European CLO</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European CLOs</w:t>
      </w:r>
      <w:r>
        <w:rPr>
          <w:rFonts w:ascii="Times New Roman" w:cs="Times New Roman" w:eastAsia="Times New Roman" w:hAnsi="Times New Roman"/>
          <w:sz w:val="17"/>
          <w:szCs w:val="17"/>
          <w:color w:val="auto"/>
        </w:rPr>
        <w:t>”).</w:t>
      </w:r>
    </w:p>
    <w:p>
      <w:pPr>
        <w:spacing w:after="0" w:line="63" w:lineRule="exact"/>
        <w:rPr>
          <w:rFonts w:ascii="Times New Roman" w:cs="Times New Roman" w:eastAsia="Times New Roman" w:hAnsi="Times New Roman"/>
          <w:sz w:val="17"/>
          <w:szCs w:val="17"/>
          <w:color w:val="auto"/>
        </w:rPr>
      </w:pPr>
    </w:p>
    <w:p>
      <w:pPr>
        <w:ind w:left="1620" w:hanging="448"/>
        <w:spacing w:after="0"/>
        <w:tabs>
          <w:tab w:leader="none" w:pos="162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2013-1 DAC</w:t>
      </w:r>
    </w:p>
    <w:p>
      <w:pPr>
        <w:sectPr>
          <w:pgSz w:w="11900" w:h="16838" w:orient="portrait"/>
          <w:cols w:equalWidth="0" w:num="1">
            <w:col w:w="9019"/>
          </w:cols>
          <w:pgMar w:left="1440" w:top="121" w:right="1440" w:bottom="0" w:gutter="0" w:footer="0" w:header="0"/>
        </w:sectPr>
      </w:pPr>
    </w:p>
    <w:bookmarkStart w:id="72" w:name="page73"/>
    <w:bookmarkEnd w:id="72"/>
    <w:p>
      <w:pPr>
        <w:ind w:left="1620" w:hanging="448"/>
        <w:spacing w:after="0"/>
        <w:tabs>
          <w:tab w:leader="none" w:pos="1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Global Market Strategies Euro CLO 2014-1 DAC</w:t>
      </w:r>
    </w:p>
    <w:p>
      <w:pPr>
        <w:spacing w:after="0" w:line="142" w:lineRule="exact"/>
        <w:rPr>
          <w:rFonts w:ascii="Times New Roman" w:cs="Times New Roman" w:eastAsia="Times New Roman" w:hAnsi="Times New Roman"/>
          <w:sz w:val="17"/>
          <w:szCs w:val="17"/>
          <w:color w:val="auto"/>
        </w:rPr>
      </w:pPr>
    </w:p>
    <w:p>
      <w:pPr>
        <w:ind w:left="1620" w:hanging="448"/>
        <w:spacing w:after="0"/>
        <w:tabs>
          <w:tab w:leader="none" w:pos="1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Global Market Strategies Euro CLO 2014-2 DAC</w:t>
      </w:r>
    </w:p>
    <w:p>
      <w:pPr>
        <w:spacing w:after="0" w:line="142" w:lineRule="exact"/>
        <w:rPr>
          <w:rFonts w:ascii="Times New Roman" w:cs="Times New Roman" w:eastAsia="Times New Roman" w:hAnsi="Times New Roman"/>
          <w:sz w:val="17"/>
          <w:szCs w:val="17"/>
          <w:color w:val="auto"/>
        </w:rPr>
      </w:pPr>
    </w:p>
    <w:p>
      <w:pPr>
        <w:ind w:left="1620" w:hanging="448"/>
        <w:spacing w:after="0"/>
        <w:tabs>
          <w:tab w:leader="none" w:pos="162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Carlyle Global Market Strategies Euro CLO 2014-3 DAC</w:t>
      </w:r>
    </w:p>
    <w:p>
      <w:pPr>
        <w:spacing w:after="0" w:line="142" w:lineRule="exact"/>
        <w:rPr>
          <w:rFonts w:ascii="Times New Roman" w:cs="Times New Roman" w:eastAsia="Times New Roman" w:hAnsi="Times New Roman"/>
          <w:sz w:val="17"/>
          <w:szCs w:val="17"/>
          <w:color w:val="auto"/>
        </w:rPr>
      </w:pPr>
    </w:p>
    <w:p>
      <w:pPr>
        <w:ind w:left="4460" w:right="3239" w:hanging="3288"/>
        <w:spacing w:after="0" w:line="454" w:lineRule="auto"/>
        <w:tabs>
          <w:tab w:leader="none" w:pos="161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Euro CLO 2015-1 DAC 3</w:t>
      </w:r>
    </w:p>
    <w:p>
      <w:pPr>
        <w:sectPr>
          <w:pgSz w:w="11900" w:h="16838" w:orient="portrait"/>
          <w:cols w:equalWidth="0" w:num="1">
            <w:col w:w="9019"/>
          </w:cols>
          <w:pgMar w:left="1440" w:top="121" w:right="1440" w:bottom="1440" w:gutter="0" w:footer="0" w:header="0"/>
        </w:sectPr>
      </w:pPr>
    </w:p>
    <w:bookmarkStart w:id="73" w:name="page74"/>
    <w:bookmarkEnd w:id="73"/>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Global Market Strategies Euro CLO 2015-2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Euro CLO 2015-3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Euro CLO 2016-1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Global Market Strategies Euro CLO 2015-2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2017-1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2017-2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2017-3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2018-1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2018-2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2019-1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2019-2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2020-1 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2020-2 DAC</w:t>
      </w:r>
    </w:p>
    <w:p>
      <w:pPr>
        <w:spacing w:after="0" w:line="131" w:lineRule="exact"/>
        <w:rPr>
          <w:sz w:val="20"/>
          <w:szCs w:val="20"/>
          <w:color w:val="auto"/>
        </w:rPr>
      </w:pPr>
    </w:p>
    <w:p>
      <w:pPr>
        <w:ind w:left="1620" w:hanging="448"/>
        <w:spacing w:after="0"/>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2021-1DAC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2021-2DAC</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Euro CLO 2021-3DAC</w:t>
      </w:r>
    </w:p>
    <w:p>
      <w:pPr>
        <w:spacing w:after="0" w:line="225" w:lineRule="exact"/>
        <w:rPr>
          <w:rFonts w:ascii="Times New Roman" w:cs="Times New Roman" w:eastAsia="Times New Roman" w:hAnsi="Times New Roman"/>
          <w:sz w:val="18"/>
          <w:szCs w:val="18"/>
          <w:color w:val="auto"/>
        </w:rPr>
      </w:pPr>
    </w:p>
    <w:p>
      <w:pPr>
        <w:ind w:left="20" w:right="599" w:firstLine="350"/>
        <w:spacing w:after="0" w:line="282" w:lineRule="auto"/>
        <w:tabs>
          <w:tab w:leader="none" w:pos="5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Infrastructure Credit</w:t>
      </w:r>
      <w:r>
        <w:rPr>
          <w:rFonts w:ascii="Times New Roman" w:cs="Times New Roman" w:eastAsia="Times New Roman" w:hAnsi="Times New Roman"/>
          <w:sz w:val="18"/>
          <w:szCs w:val="18"/>
          <w:color w:val="auto"/>
        </w:rPr>
        <w:t>: The following entity within Infrastructure Credit is a Delaware limited partnership. It is advised by CGCIM (the “</w:t>
      </w:r>
      <w:r>
        <w:rPr>
          <w:rFonts w:ascii="Times New Roman" w:cs="Times New Roman" w:eastAsia="Times New Roman" w:hAnsi="Times New Roman"/>
          <w:sz w:val="18"/>
          <w:szCs w:val="18"/>
          <w:b w:val="1"/>
          <w:bCs w:val="1"/>
          <w:i w:val="1"/>
          <w:iCs w:val="1"/>
          <w:color w:val="auto"/>
        </w:rPr>
        <w:t>Infrastructure Credit Fund</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Infrastructure Credit Fund,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Infrastructure Credit Fund Note Issuer,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Aurora Infrastructure Credit Partners,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Carlyle Infrastructure Credit Fund (Levered), L.P.</w:t>
      </w:r>
    </w:p>
    <w:p>
      <w:pPr>
        <w:spacing w:after="0" w:line="130" w:lineRule="exact"/>
        <w:rPr>
          <w:rFonts w:ascii="Times New Roman" w:cs="Times New Roman" w:eastAsia="Times New Roman" w:hAnsi="Times New Roman"/>
          <w:sz w:val="18"/>
          <w:szCs w:val="18"/>
          <w:color w:val="auto"/>
        </w:rPr>
      </w:pPr>
    </w:p>
    <w:p>
      <w:pPr>
        <w:ind w:left="1620" w:hanging="448"/>
        <w:spacing w:after="0"/>
        <w:tabs>
          <w:tab w:leader="none" w:pos="16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Cedar Infrastructure Credit Partners, 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270" w:right="1440"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left="1500" w:right="2020"/>
        <w:spacing w:after="0" w:line="266" w:lineRule="auto"/>
        <w:rPr>
          <w:sz w:val="20"/>
          <w:szCs w:val="20"/>
          <w:color w:val="auto"/>
        </w:rPr>
      </w:pPr>
      <w:r>
        <w:rPr>
          <w:rFonts w:ascii="Times New Roman" w:cs="Times New Roman" w:eastAsia="Times New Roman" w:hAnsi="Times New Roman"/>
          <w:sz w:val="18"/>
          <w:szCs w:val="18"/>
          <w:color w:val="auto"/>
        </w:rPr>
        <w:t>Verification of Statement of Facts and Application pursuant to Rule 17d-1 under the Investment Company Act of 1940 for an Order of the Commission</w:t>
      </w:r>
    </w:p>
    <w:p>
      <w:pPr>
        <w:spacing w:after="0" w:line="176" w:lineRule="exact"/>
        <w:rPr>
          <w:sz w:val="20"/>
          <w:szCs w:val="20"/>
          <w:color w:val="auto"/>
        </w:rPr>
      </w:pPr>
    </w:p>
    <w:p>
      <w:pPr>
        <w:ind w:left="20" w:right="59"/>
        <w:spacing w:after="0" w:line="256" w:lineRule="auto"/>
        <w:rPr>
          <w:sz w:val="20"/>
          <w:szCs w:val="20"/>
          <w:color w:val="auto"/>
        </w:rPr>
      </w:pPr>
      <w:r>
        <w:rPr>
          <w:rFonts w:ascii="Times New Roman" w:cs="Times New Roman" w:eastAsia="Times New Roman" w:hAnsi="Times New Roman"/>
          <w:sz w:val="18"/>
          <w:szCs w:val="18"/>
          <w:color w:val="auto"/>
        </w:rPr>
        <w:t>The undersigned states that he or she has duly executed the attached Application for an Order under Sections 17(d), 57(a)(4) and 57(i) of the Investment Company Act of 1940, as amended, and Rule 17d-1 thereunder, dated December 23, 2022, for and on behalf of the Applicants, as the case may be, that he or she holds the office with such entity as indicated below and that all actions by the stockholders, directors, and other bodies necessary to authorize the undersigned to execute and file such Application have been taken. The undersigned further says that he or she is familiar with the instrument and the contents thereof, and that the facts set forth therein are true to the best of his or her knowledge, information, and belief.</w:t>
      </w:r>
    </w:p>
    <w:p>
      <w:pPr>
        <w:sectPr>
          <w:pgSz w:w="11900" w:h="16838" w:orient="portrait"/>
          <w:cols w:equalWidth="0" w:num="1">
            <w:col w:w="9019"/>
          </w:cols>
          <w:pgMar w:left="1440" w:top="266" w:right="1440" w:bottom="1440" w:gutter="0" w:footer="0" w:header="0"/>
        </w:sectPr>
      </w:pPr>
    </w:p>
    <w:bookmarkStart w:id="75" w:name="page76"/>
    <w:bookmarkEnd w:id="75"/>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CARLYLE SECURED LENDING, INC.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SOLUTIONS, INC.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SECURED LENDING III</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TCG BDC SPV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SOLUTIONS SPV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DIRECT LENDING CLO 2015-1R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SOLUTIONS SPV 2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OCPC CREDIT FACILITY SPV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TACTICAL PRIVATE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CARLYLE GLOBAL CREDIT INVESTMENT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Global Credit Chief Legal Officer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CSL III ADVISOR,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Global Credit Investment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Management L.L.C., its managing member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CPC V, LP</w:t>
      </w:r>
    </w:p>
    <w:p>
      <w:pPr>
        <w:spacing w:after="0" w:line="11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CPC V GP,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CPC V SPV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CPC V, L.P., its sole member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CPC V GP,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76" w:name="page77"/>
    <w:bookmarkEnd w:id="76"/>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MC UNI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MC GP, Ltd., its managing member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MC UNI SUBSIDIARY LLC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MC UNI SUBSIDIARY II (BLOCKER)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MC UNI LLC, its managing member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MC GP, Ltd., its managing member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77" w:name="page78"/>
    <w:bookmarkEnd w:id="77"/>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CDL 2018-1, L.L.C.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CDL 2018-1 SPV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CDL 2018-1 Manager, L.L.C., its manager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CDL 2018-1 GP, L.L.C., its managing</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CDL 2018-2,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CDL 2018-1 GP, Ltd.,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ONTARIO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PARTNERSHIP,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ONTARIO CREDIT SLP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TCG OPT Credit GP, Ltd.,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ONTARIO CREDIT SPECIAL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LIMITED PARTNER, L.P</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Ontario Credit SLP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Kristie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Kristie Weaver</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SKYLINE CREDIT FUND,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Skyline Credit Fund GP,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Skyline Credit Fund GP, L.L.C., its</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CDL 2020-3,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CDL 2020-3 MANAGER,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270" w:right="1440" w:bottom="1440" w:gutter="0" w:footer="0" w:header="0"/>
        </w:sectPr>
      </w:pPr>
    </w:p>
    <w:bookmarkStart w:id="78" w:name="page79"/>
    <w:bookmarkEnd w:id="78"/>
    <w:p>
      <w:pPr>
        <w:ind w:left="5400"/>
        <w:spacing w:after="0"/>
        <w:rPr>
          <w:sz w:val="20"/>
          <w:szCs w:val="20"/>
          <w:color w:val="auto"/>
        </w:rPr>
      </w:pPr>
      <w:r>
        <w:rPr>
          <w:rFonts w:ascii="Times New Roman" w:cs="Times New Roman" w:eastAsia="Times New Roman" w:hAnsi="Times New Roman"/>
          <w:sz w:val="17"/>
          <w:szCs w:val="17"/>
          <w:color w:val="auto"/>
        </w:rPr>
        <w:t>CARLYLE CLO MANAGEMENT L.L.C.</w:t>
      </w: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Catherine L. Ziobro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Catherine L. Ziobro</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364" w:right="1440" w:bottom="1440" w:gutter="0" w:footer="0" w:header="0"/>
        </w:sectPr>
      </w:pPr>
    </w:p>
    <w:bookmarkStart w:id="79" w:name="page80"/>
    <w:bookmarkEnd w:id="79"/>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CLO FUND,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CLO Partners GP,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2012-4,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2013-1,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2013-2,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2013-3,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2013-4,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2014-1,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2014-5,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2015-1,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2015-2,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2015-3,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2015-4,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2015-5,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GLOBAL MARKET STRATEGIES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2016-1, LTD.</w:t>
      </w:r>
    </w:p>
    <w:p>
      <w:pPr>
        <w:spacing w:after="0" w:line="200" w:lineRule="exact"/>
        <w:rPr>
          <w:sz w:val="20"/>
          <w:szCs w:val="20"/>
          <w:color w:val="auto"/>
        </w:rPr>
      </w:pPr>
    </w:p>
    <w:p>
      <w:pPr>
        <w:spacing w:after="0" w:line="26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Kriste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Kriste Rankin</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80" w:name="page81"/>
    <w:bookmarkEnd w:id="80"/>
    <w:p>
      <w:pPr>
        <w:ind w:left="5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GLOBAL MARKET STRATEGIES</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2016-2, LTD.</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Paul Belson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Paul Belson</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81" w:name="page82"/>
    <w:bookmarkEnd w:id="81"/>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C17 CLO, LTD.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Sheraim Mascal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Sheraim Mascal</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2020-2,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2021-A, LTD.</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Dianne Farjallah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Dianne Farjallah</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2012-3,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2014-2-R,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2014-3- R,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2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2014-4-R,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CARLYLE GLOBAL MARKET STRATEGIES CLO</w:t>
      </w:r>
    </w:p>
    <w:p>
      <w:pPr>
        <w:spacing w:after="0" w:line="2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2016-3,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2016-4,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2017-1,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2017-2,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2017-4,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2017-5,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2018-1,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2018-2,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2018-3,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2018-4,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2019-1,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2019-2,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2019-3,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2019-4,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2020-1, LTD.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CARLYLE US CLO 2020-A, LTD.</w:t>
      </w:r>
    </w:p>
    <w:p>
      <w:pPr>
        <w:spacing w:after="0" w:line="22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17145</wp:posOffset>
            </wp:positionV>
            <wp:extent cx="23056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Verifications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82" w:name="page83"/>
    <w:bookmarkEnd w:id="82"/>
    <w:p>
      <w:pPr>
        <w:ind w:left="5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STRUCTURED CREDIT FUND,</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STRUCTURED CREDIT</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COINVESTMENT,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Structured Credit GP,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Structured Credit GP,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83" w:name="page84"/>
    <w:bookmarkEnd w:id="83"/>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ENERGY MEZZANINE</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OPPORTUNITIES FUND II,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ENERGY MEZZANINE</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OPPORTUNITIES FUND II-A,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MASTER CO-INVESTMENT</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PARTNERS,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MASTER CO-INVESTMENT</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PARTNERS AIV ONE,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MASTER CO-INVESTMENT</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PARTNERS AIV,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AIV,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AIV ONE,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AIV TWO,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AIV THREE,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AIV FOUR,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II-A AIV,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II-A AIV ONE,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II-A AIV TWO,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II-A AIV THREE,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II-A AIV FOUR,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CEMOF II OFFSHORE INVESTORS,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CEMOF II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CEMOF II,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CEMOF-A COINVESTMENT PARTNERS, L.P.</w:t>
      </w:r>
    </w:p>
    <w:p>
      <w:pPr>
        <w:spacing w:after="0" w:line="23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CEMOF General Partner Cayman,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CEMOF GP Cayman, Ltd.,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Jeffrey W. Ferguson</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84" w:name="page85"/>
    <w:bookmarkEnd w:id="84"/>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CREDIT OPPORTUNITIES FUND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(PARALLEL),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CREDIT OPPORTUNITIES FUND,</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CAYMAN,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NORTH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PARALLEL AIV,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PARALLEL AIV INVESTORS,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NOTE ISSUER,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(PARALLEL) NOTE ISSUER,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GEM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CAYMAN GEM CO-</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INVESTMENT,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ONSHORE CO-BORROWER LLC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CAYMAN, LTD.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S.à r.l.</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Gael Castex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Gael Castex</w:t>
      </w:r>
    </w:p>
    <w:p>
      <w:pPr>
        <w:spacing w:after="0" w:line="23"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S.à r.l.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GC LION S.à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MADISON JV S.a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SPV I S.à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GC ORANGE S.à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MASTER CO-INVESTMENT S.à r.l.</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CO-INVESTMENT S.à r.l</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Gael Castex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Gael Castex</w:t>
      </w:r>
    </w:p>
    <w:p>
      <w:pPr>
        <w:spacing w:after="0" w:line="23"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MAIN SPV,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SPV GP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ectPr>
          <w:pgSz w:w="11900" w:h="16838" w:orient="portrait"/>
          <w:cols w:equalWidth="0" w:num="1">
            <w:col w:w="9019"/>
          </w:cols>
          <w:pgMar w:left="1440" w:top="270" w:right="1440" w:bottom="1440" w:gutter="0" w:footer="0" w:header="0"/>
        </w:sectPr>
      </w:pPr>
    </w:p>
    <w:bookmarkStart w:id="85" w:name="page86"/>
    <w:bookmarkEnd w:id="85"/>
    <w:p>
      <w:pPr>
        <w:ind w:left="5400"/>
        <w:spacing w:after="0"/>
        <w:rPr>
          <w:sz w:val="20"/>
          <w:szCs w:val="20"/>
          <w:color w:val="auto"/>
        </w:rPr>
      </w:pPr>
      <w:r>
        <w:rPr>
          <w:rFonts w:ascii="Times New Roman" w:cs="Times New Roman" w:eastAsia="Times New Roman" w:hAnsi="Times New Roman"/>
          <w:sz w:val="18"/>
          <w:szCs w:val="18"/>
          <w:color w:val="auto"/>
        </w:rPr>
        <w:t>CARLYLE TANGO RE CREDIT,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Tango RE Credit GP,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Tango,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MASTER,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(PARALLEL) II, SCSp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LUX FEEDER, SCSp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Lux General Partner, S.à r.l.,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ONSHORE SPV,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SPV GP,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MASTER CAYMAN, LTD.,</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 NOTE ISSUER,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(PARALLEL) II NOTE ISSUER,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Note Issuer General Partner,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-130810</wp:posOffset>
            </wp:positionV>
            <wp:extent cx="2108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MASTER S.à r.l.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SPV S.à r.l.</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9019"/>
          </w:cols>
          <w:pgMar w:left="1440" w:top="364" w:right="1440" w:bottom="0" w:gutter="0" w:footer="0" w:header="0"/>
        </w:sectPr>
      </w:pPr>
    </w:p>
    <w:bookmarkStart w:id="86" w:name="page87"/>
    <w:bookmarkEnd w:id="86"/>
    <w:p>
      <w:pPr>
        <w:ind w:left="5400"/>
        <w:spacing w:after="0"/>
        <w:rPr>
          <w:sz w:val="20"/>
          <w:szCs w:val="20"/>
          <w:color w:val="auto"/>
        </w:rPr>
      </w:pPr>
      <w:r>
        <w:rPr>
          <w:rFonts w:ascii="Times New Roman" w:cs="Times New Roman" w:eastAsia="Times New Roman" w:hAnsi="Times New Roman"/>
          <w:sz w:val="18"/>
          <w:szCs w:val="18"/>
          <w:color w:val="auto"/>
        </w:rPr>
        <w:t>By: /s/ Gael Castex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Gael Castex</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STRATEGIC PARTNERS IV,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COINVESTMENT,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S-1B AIV,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CSP IV,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COINVESTMENT (CAYMAN),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(CAYMAN 1),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ACQUISITIONS,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(Cayman 1) General Partner,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CSP IV,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S-1 AIV,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S-1A AIV,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Strategic Partners IV,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CSP IV,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ACQUISITIONS (CAYMAN-3),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Credit Acquisitions-3 General Partner, L.P.,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Credit Acquisitions-3,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ARF (Cayman 3),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ARF General Partner, L.P.,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ARF Delaware 3,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-130810</wp:posOffset>
            </wp:positionV>
            <wp:extent cx="2108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121" w:right="1440" w:bottom="542"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121" w:right="1440" w:bottom="542" w:gutter="0" w:footer="0" w:header="0"/>
          <w:type w:val="continuous"/>
        </w:sectPr>
      </w:pPr>
    </w:p>
    <w:bookmarkStart w:id="87" w:name="page88"/>
    <w:bookmarkEnd w:id="87"/>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CSP IV (CAYMAN 2),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CSP IV (Cayman 2) General Partner, L.P., its</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(Cayman 2) GP, Ltd.,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Jeffrey W. Ferguson</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(CAYMAN 3),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CSP IV (Cayman 3) General Partner, L.P., its</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(Cayman 3) GP, Ltd.,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Jeffrey 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Jeffrey W. Ferguson</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Verifications</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88" w:name="page89"/>
    <w:bookmarkEnd w:id="88"/>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CARLYLE CLOVER PARTNERS, L.P.</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CLOVER PARTNERS 2, L.P.</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CREV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CREV General Partner,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TCG CAPITAL MARKETS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Anne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Anne Campbell</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TCG SENIOR FUNDING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Legal Officer of Global Credit</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REVOLVING LOAN FUND,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Revolving Loan GP,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GP,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CREV COINVESTMENT,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CLOVER FINANCING SPV,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Revolving Loan GP,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GP,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jc w:val="center"/>
        <w:ind w:left="346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CREV CAYMAN, 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Revolving Loan GP, L.P., its general</w:t>
      </w:r>
    </w:p>
    <w:p>
      <w:pPr>
        <w:spacing w:after="0" w:line="3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GP, L.L.C.,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ectPr>
          <w:pgSz w:w="11900" w:h="16838" w:orient="portrait"/>
          <w:cols w:equalWidth="0" w:num="1">
            <w:col w:w="9019"/>
          </w:cols>
          <w:pgMar w:left="1440" w:top="270" w:right="1440" w:bottom="1440" w:gutter="0" w:footer="0" w:header="0"/>
        </w:sectPr>
      </w:pPr>
    </w:p>
    <w:bookmarkStart w:id="89" w:name="page90"/>
    <w:bookmarkEnd w:id="89"/>
    <w:p>
      <w:pPr>
        <w:ind w:left="5400"/>
        <w:spacing w:after="0"/>
        <w:rPr>
          <w:sz w:val="20"/>
          <w:szCs w:val="20"/>
          <w:color w:val="auto"/>
        </w:rPr>
      </w:pPr>
      <w:r>
        <w:rPr>
          <w:rFonts w:ascii="Times New Roman" w:cs="Times New Roman" w:eastAsia="Times New Roman" w:hAnsi="Times New Roman"/>
          <w:sz w:val="18"/>
          <w:szCs w:val="18"/>
          <w:color w:val="auto"/>
        </w:rPr>
        <w:t>CARLYLE INFRASTRUCTURE CREDIT</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FUND, L.P.,</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General Partner, L.P,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BRAVO OPPORTUNISTIC</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CREDIT PARTNERSHIP,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BRAVO OPPORTUNISTIC</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CREDIT FEEDER, L.P.</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TCG Bravo Credit GP, Ltd.,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CELF ADVISORS LLP</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CELF, L.L.C., its general partner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Kristie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Kristie Weaver</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2013-1 DAC</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2014-2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2014-3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2015-2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2016-2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2017-1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2017-2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2017-3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2018-1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2019-2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2020-2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2021-1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2021-2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2021-3 DAC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Martin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Martin Carr</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364" w:right="1440" w:bottom="1440" w:gutter="0" w:footer="0" w:header="0"/>
        </w:sectPr>
      </w:pPr>
    </w:p>
    <w:bookmarkStart w:id="90" w:name="page91"/>
    <w:bookmarkEnd w:id="90"/>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2014-1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2015-1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2015-3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2018-2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2019-1 DAC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EURO CLO 2020-1 DAC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Stephen Healy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Stephen Healy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GLOBAL MARKET STRATEGIES</w:t>
      </w:r>
    </w:p>
    <w:p>
      <w:pPr>
        <w:spacing w:after="0" w:line="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EURO CLO 2016-1 DAC</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Jane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Jane McCullough</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364" w:right="1440" w:bottom="1440" w:gutter="0" w:footer="0" w:header="0"/>
        </w:sectPr>
      </w:pPr>
    </w:p>
    <w:bookmarkStart w:id="91" w:name="page92"/>
    <w:bookmarkEnd w:id="91"/>
    <w:p>
      <w:pPr>
        <w:ind w:left="5400"/>
        <w:spacing w:after="0"/>
        <w:rPr>
          <w:sz w:val="20"/>
          <w:szCs w:val="20"/>
          <w:color w:val="auto"/>
        </w:rPr>
      </w:pPr>
      <w:r>
        <w:rPr>
          <w:rFonts w:ascii="Times New Roman" w:cs="Times New Roman" w:eastAsia="Times New Roman" w:hAnsi="Times New Roman"/>
          <w:sz w:val="18"/>
          <w:szCs w:val="18"/>
          <w:color w:val="auto"/>
        </w:rPr>
        <w:t>CARLYLE US CLO 2021-3S,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2021-5,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2021-6,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2021-7,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2021-8,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CARYLE US CLO 2021-10,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2021-9,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2021-11,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2021-J,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2022-A,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2022-B, LTD.</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John Fawkes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John Fawkes</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CICF COINVESTMENT, L.P.</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General Partner, L.P., its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INFRASTRUCTURE CREDIT</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 NOTE ISSUER,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NOTE ISSUER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 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364" w:right="1440" w:bottom="1440" w:gutter="0" w:footer="0" w:header="0"/>
        </w:sectPr>
      </w:pPr>
    </w:p>
    <w:bookmarkStart w:id="92" w:name="page93"/>
    <w:bookmarkEnd w:id="92"/>
    <w:p>
      <w:pPr>
        <w:ind w:left="5400"/>
        <w:spacing w:after="0"/>
        <w:rPr>
          <w:sz w:val="20"/>
          <w:szCs w:val="20"/>
          <w:color w:val="auto"/>
        </w:rPr>
      </w:pPr>
      <w:r>
        <w:rPr>
          <w:rFonts w:ascii="Times New Roman" w:cs="Times New Roman" w:eastAsia="Times New Roman" w:hAnsi="Times New Roman"/>
          <w:sz w:val="18"/>
          <w:szCs w:val="18"/>
          <w:color w:val="auto"/>
        </w:rPr>
        <w:t>CICF LUX FEEDER, SCSP</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LUX GP, S.à.r.l., its general partner</w:t>
      </w:r>
    </w:p>
    <w:p>
      <w:pPr>
        <w:spacing w:after="0" w:line="200" w:lineRule="exact"/>
        <w:rPr>
          <w:sz w:val="20"/>
          <w:szCs w:val="20"/>
          <w:color w:val="auto"/>
        </w:rPr>
      </w:pPr>
    </w:p>
    <w:p>
      <w:pPr>
        <w:spacing w:after="0" w:line="28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INVESTORS,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2,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INVESTORS 2,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3,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4, L.P.</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General partner, L.P., its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INVESTORS 3,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AIV INVESTORS 4,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INVESTORS 3,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BRAVO CREDIT INVESTOR, LLC</w:t>
      </w:r>
    </w:p>
    <w:p>
      <w:pPr>
        <w:spacing w:after="0" w:line="23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20745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3, L.P. CARLYLE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4,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2, SCSP CARLYLE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SCSP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PARALLEL AIV INVESTORS, SCSP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LUX GENERAL PARTNER S.à</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r.l., its general partner</w:t>
      </w:r>
    </w:p>
    <w:p>
      <w:pPr>
        <w:sectPr>
          <w:pgSz w:w="11900" w:h="16838" w:orient="portrait"/>
          <w:cols w:equalWidth="0" w:num="1">
            <w:col w:w="9019"/>
          </w:cols>
          <w:pgMar w:left="1440" w:top="364" w:right="1440" w:bottom="1440" w:gutter="0" w:footer="0" w:header="0"/>
        </w:sectPr>
      </w:pPr>
    </w:p>
    <w:bookmarkStart w:id="93" w:name="page94"/>
    <w:bookmarkEnd w:id="93"/>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PROJECT MEDIACO,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PROJECT HARMONY, L.P. CARLYLE</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HOLDINGS,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AIV 2 HOLDINGS,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II-N,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II-N MAIN,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General Partner, L.P., its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SPINNAKER PARTNERS 2,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SPINNAKER PARTNERS 2 MAIN,</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SPINNAKER PARTNERS 2 GP,</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REVOLVING LOAN FUND II, L.P.</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CREV II CAYMAN, L.P.</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CREV General Partner, L.P., its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II GP, L.L.C.,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DIRECT LENDING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(LEVERED)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DIRECT LENDING FUND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DIRECT LENDING FUND GP,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FALCON STRUCTURED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SOLUTIONS, L.L.C.</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FALCON STRUCTURED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SOLUTIONS MANAGER, L.L.C., its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580" w:right="1440" w:bottom="0" w:gutter="0" w:footer="0" w:header="0"/>
        </w:sectPr>
      </w:pPr>
    </w:p>
    <w:bookmarkStart w:id="94" w:name="page95"/>
    <w:bookmarkEnd w:id="94"/>
    <w:p>
      <w:pPr>
        <w:ind w:left="5400"/>
        <w:spacing w:after="0"/>
        <w:rPr>
          <w:sz w:val="20"/>
          <w:szCs w:val="20"/>
          <w:color w:val="auto"/>
        </w:rPr>
      </w:pPr>
      <w:r>
        <w:rPr>
          <w:rFonts w:ascii="Times New Roman" w:cs="Times New Roman" w:eastAsia="Times New Roman" w:hAnsi="Times New Roman"/>
          <w:sz w:val="18"/>
          <w:szCs w:val="18"/>
          <w:color w:val="auto"/>
        </w:rPr>
        <w:t>CARLYLE AURORA INFRASTRUCTURE</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CREDIT PARTNERS,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TCG AURORA CREDIT GP LTD.,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INFRASTRUCTURE CREDIT</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 (LEVERED),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GENERAL PARTNER, L.P.,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CICF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CREV II COINVESTMENT, L.P.</w:t>
      </w:r>
    </w:p>
    <w:p>
      <w:pPr>
        <w:spacing w:after="0" w:line="25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CARLYLE REVOLVING LOAN II GP, L.P.,</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REVOLVING LOAN II GP,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ONTARIO CREDIT PARTNERSHIP</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DIRECT LENDING SPV, L.P.</w:t>
      </w:r>
    </w:p>
    <w:p>
      <w:pPr>
        <w:sectPr>
          <w:pgSz w:w="11900" w:h="16838" w:orient="portrait"/>
          <w:cols w:equalWidth="0" w:num="1">
            <w:col w:w="9019"/>
          </w:cols>
          <w:pgMar w:left="1440" w:top="216" w:right="1440" w:bottom="1440" w:gutter="0" w:footer="0" w:header="0"/>
        </w:sectPr>
      </w:pPr>
    </w:p>
    <w:bookmarkStart w:id="95" w:name="page96"/>
    <w:bookmarkEnd w:id="95"/>
    <w:p>
      <w:pPr>
        <w:ind w:left="5400"/>
        <w:spacing w:after="0"/>
        <w:rPr>
          <w:sz w:val="20"/>
          <w:szCs w:val="20"/>
          <w:color w:val="auto"/>
        </w:rPr>
      </w:pPr>
      <w:r>
        <w:rPr>
          <w:rFonts w:ascii="Times New Roman" w:cs="Times New Roman" w:eastAsia="Times New Roman" w:hAnsi="Times New Roman"/>
          <w:sz w:val="18"/>
          <w:szCs w:val="18"/>
          <w:color w:val="auto"/>
        </w:rPr>
        <w:t>By: TCG OPT CREDIT SPV GP, LTD.,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SKYLINE CREDIT FUND, AIV L.P.</w:t>
      </w:r>
    </w:p>
    <w:p>
      <w:pPr>
        <w:spacing w:after="0" w:line="26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SKYLINE CREDIT FUND GP,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SKYLINE CREDIT FUND GP,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PARALLEL IRVING AIV</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(LUX), SCSP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LUX FEEDER IRVING AIV, SCSP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LUX GENERAL PARTNER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S.a.r.l.,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color w:val="auto"/>
        </w:rPr>
        <w:t>Title: 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William Cagney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William Cagney</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CCOF II PARALLEL IRVING AIV</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INVESTORS (DE), L.L.C.</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364" w:right="1440" w:bottom="1440" w:gutter="0" w:footer="0" w:header="0"/>
        </w:sectPr>
      </w:pPr>
    </w:p>
    <w:bookmarkStart w:id="96" w:name="page97"/>
    <w:bookmarkEnd w:id="96"/>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IRVING AIV 2,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(PARALLEL) II IRVING AIV,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GENERAL PARTNER, L.P.,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 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BRAWN AIV, L.P.</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BRAWN COINVEST ELECTING INVESTORS,</w:t>
      </w:r>
    </w:p>
    <w:p>
      <w:pPr>
        <w:spacing w:after="0" w:line="2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COINVEST BRAWN INVESTORS,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COINVEST BRAWN, L.P.</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(PARALLEL) AIV I,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CSP IV GENERAL PARTNER, L.P.,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TC GROUP CSP IV, L.L.C., its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CSP IV CREDIT INVESTOR, LLC</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CARLYLE TANGO RE CREDIT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SPLITTER, L.P.</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CARLYLE TANGO RE CREDIT GP,</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CARLYLE TANGO, L.L.C., its general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CARLYLE CEDAR INFRASTRUCTURE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CREDIT PARTNERS, L.P.</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TCG CEDAR CREDIT GP LTD., its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Karen Ellerbe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Karen Ellerbe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AURORA REVOLVING LOAN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AURORA REVOLVING LOAN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 GP, L.P., its 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AURORA REVOLVING LOAN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 GP, L.L.C., 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ectPr>
          <w:pgSz w:w="11900" w:h="16838" w:orient="portrait"/>
          <w:cols w:equalWidth="0" w:num="1">
            <w:col w:w="9019"/>
          </w:cols>
          <w:pgMar w:left="1440" w:top="364" w:right="1440" w:bottom="0" w:gutter="0" w:footer="0" w:header="0"/>
        </w:sectPr>
      </w:pPr>
    </w:p>
    <w:bookmarkStart w:id="97" w:name="page98"/>
    <w:bookmarkEnd w:id="97"/>
    <w:p>
      <w:pPr>
        <w:ind w:left="5400"/>
        <w:spacing w:after="0"/>
        <w:rPr>
          <w:sz w:val="20"/>
          <w:szCs w:val="20"/>
          <w:color w:val="auto"/>
        </w:rPr>
      </w:pPr>
      <w:r>
        <w:rPr>
          <w:rFonts w:ascii="Times New Roman" w:cs="Times New Roman" w:eastAsia="Times New Roman" w:hAnsi="Times New Roman"/>
          <w:sz w:val="18"/>
          <w:szCs w:val="18"/>
          <w:color w:val="auto"/>
        </w:rPr>
        <w:t>CARLYLE DIRECT LENDING DRAWDOWN</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CLO 2022-1 PARTNERSHIP,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CARLYLE DIRECT LENDING</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DRAWDOWN CLO 20222-1 GP, L.L.C., its</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2022-F,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2022-G,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US CLO 2022-H, LTD.</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John Fawkes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John Fawkes</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2017-1, LTD.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2017-2,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2017-3,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2017-4,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2017-4,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2018-5,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2018-6,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2018-7,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2018-8,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2019-9,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2019-10,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2019-11R,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2020-12,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2020-13, LLC</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2020-13,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2021-14, LTD.</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CBAM 2021-15, LLC</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By: CBAM CLO Management LLC, its portfolio</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manager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4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III,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General Partner, L.P., its general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-130810</wp:posOffset>
            </wp:positionV>
            <wp:extent cx="2108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CREDIT OPPORTUNITIES FUND</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III (PARALLEL), SCSP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Lux General Partner, S.à r.l.,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ectPr>
          <w:pgSz w:w="11900" w:h="16838" w:orient="portrait"/>
          <w:cols w:equalWidth="0" w:num="1">
            <w:col w:w="9019"/>
          </w:cols>
          <w:pgMar w:left="1440" w:top="580" w:right="1440" w:bottom="1440" w:gutter="0" w:footer="0" w:header="0"/>
        </w:sectPr>
      </w:pPr>
    </w:p>
    <w:bookmarkStart w:id="98" w:name="page99"/>
    <w:bookmarkEnd w:id="98"/>
    <w:p>
      <w:pPr>
        <w:ind w:left="5400"/>
        <w:spacing w:after="0"/>
        <w:rPr>
          <w:sz w:val="20"/>
          <w:szCs w:val="20"/>
          <w:color w:val="auto"/>
        </w:rPr>
      </w:pPr>
      <w:r>
        <w:rPr>
          <w:rFonts w:ascii="Times New Roman" w:cs="Times New Roman" w:eastAsia="Times New Roman" w:hAnsi="Times New Roman"/>
          <w:sz w:val="17"/>
          <w:szCs w:val="17"/>
          <w:color w:val="auto"/>
        </w:rPr>
        <w:t>CARLYLE CREDIT OPPORTUNITIES FUND</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III PLUS, L.P.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General Plus Partner, L.P., its</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Plus L.L.C., its general partner</w:t>
      </w:r>
    </w:p>
    <w:p>
      <w:pPr>
        <w:spacing w:after="0" w:line="2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CARLYLE CREDIT OPPORTUNITIES FUND</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III PLUS (PARALLEL), SCSP</w:t>
      </w:r>
    </w:p>
    <w:p>
      <w:pPr>
        <w:spacing w:after="0" w:line="2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CCOF III Plus Lux General Partner, S.à r.l.,</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David Lobe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Lobe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Verifications]</w:t>
      </w:r>
    </w:p>
    <w:p>
      <w:pPr>
        <w:sectPr>
          <w:pgSz w:w="11900" w:h="16838" w:orient="portrait"/>
          <w:cols w:equalWidth="0" w:num="1">
            <w:col w:w="9019"/>
          </w:cols>
          <w:pgMar w:left="1440" w:top="121"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Authorization for</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Carlyle Secured Lending,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Carlyle Credit Solutions,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Carlyle Secured Lending III</w:t>
      </w:r>
    </w:p>
    <w:p>
      <w:pPr>
        <w:spacing w:after="0" w:line="207" w:lineRule="exact"/>
        <w:rPr>
          <w:sz w:val="20"/>
          <w:szCs w:val="20"/>
          <w:color w:val="auto"/>
        </w:rPr>
      </w:pPr>
    </w:p>
    <w:p>
      <w:pPr>
        <w:ind w:left="20" w:right="99"/>
        <w:spacing w:after="0" w:line="254" w:lineRule="auto"/>
        <w:rPr>
          <w:sz w:val="20"/>
          <w:szCs w:val="20"/>
          <w:color w:val="auto"/>
        </w:rPr>
      </w:pPr>
      <w:r>
        <w:rPr>
          <w:rFonts w:ascii="Times New Roman" w:cs="Times New Roman" w:eastAsia="Times New Roman" w:hAnsi="Times New Roman"/>
          <w:sz w:val="18"/>
          <w:szCs w:val="18"/>
          <w:color w:val="auto"/>
        </w:rPr>
        <w:t>The undersigned hereby certifies that she is the Chief Executive Officer of each of Carlyle Secured Lending, Inc , Carlyle Credit Solutions, Inc. and Carlyle Secured Lending III (each, an “Applicant”); that with respect to the attached Application (the “Application”) for exemption from certain provisions of the Investment Company Act of 1940, as amended, all actions necessary to authorize the execution and filing of the Application under the respective certificate of incorporation and by-laws of the Applicant have been taken and the person filing the Application on behalf of each Applicant is fully authorized to do so; and that the board of directors of each Applicant has duly adopted the following resolutions, in the case of Carlyle Secured Lending, Inc., at a meeting duly called and held on February 22, 2021, in the case of Carlyle Credit Solutions, Inc., at a meeting duly called and held on February 22, 2021 and in the case of Carlyle Secured Lending, at a meeting duly called and held on June 21, 2021, at each of which a quorum was present and acting throughout:</w:t>
      </w:r>
    </w:p>
    <w:p>
      <w:pPr>
        <w:spacing w:after="0" w:line="188" w:lineRule="exact"/>
        <w:rPr>
          <w:sz w:val="20"/>
          <w:szCs w:val="20"/>
          <w:color w:val="auto"/>
        </w:rPr>
      </w:pPr>
    </w:p>
    <w:p>
      <w:pPr>
        <w:ind w:left="20" w:right="79"/>
        <w:spacing w:after="0" w:line="256" w:lineRule="auto"/>
        <w:rPr>
          <w:sz w:val="20"/>
          <w:szCs w:val="20"/>
          <w:color w:val="auto"/>
        </w:rPr>
      </w:pPr>
      <w:r>
        <w:rPr>
          <w:rFonts w:ascii="Times New Roman" w:cs="Times New Roman" w:eastAsia="Times New Roman" w:hAnsi="Times New Roman"/>
          <w:sz w:val="18"/>
          <w:szCs w:val="18"/>
          <w:color w:val="auto"/>
        </w:rPr>
        <w:t>NOW, THEREFORE, BE IT RESOLVED, that the officers of the Company (each, an “Authorized Officer” and, collectively, “Authorized Officers”) of each Company be, and each of them hereby is, authorized to prepare, or to cause to be prepared, executed and filed with the Securities and Exchange Commission (the “SEC”) an application for an order pursuant to Sections 17(d) and 57(i) of the Investment Company Act of 1940, as amended (the “1940 Act”), and Rule 17d-1 under the 1940 Act, to permit certain joint transactions that otherwise may be prohibited by Section 17(d) and 57(a)(4) of the 1940 Act and Rule 17d-1 under the 1940 Act (the “New Application”) for each Company; and it is</w:t>
      </w:r>
    </w:p>
    <w:p>
      <w:pPr>
        <w:spacing w:after="0" w:line="187" w:lineRule="exact"/>
        <w:rPr>
          <w:sz w:val="20"/>
          <w:szCs w:val="20"/>
          <w:color w:val="auto"/>
        </w:rPr>
      </w:pPr>
    </w:p>
    <w:p>
      <w:pPr>
        <w:ind w:left="20" w:right="199"/>
        <w:spacing w:after="0" w:line="266" w:lineRule="auto"/>
        <w:rPr>
          <w:sz w:val="20"/>
          <w:szCs w:val="20"/>
          <w:color w:val="auto"/>
        </w:rPr>
      </w:pPr>
      <w:r>
        <w:rPr>
          <w:rFonts w:ascii="Times New Roman" w:cs="Times New Roman" w:eastAsia="Times New Roman" w:hAnsi="Times New Roman"/>
          <w:sz w:val="18"/>
          <w:szCs w:val="18"/>
          <w:color w:val="auto"/>
        </w:rPr>
        <w:t>FURTHER RESOLVED, that the Authorized Officers of each Company be, and each of them hereby is, authorized to take such other action, and to make such representations on behalf of each Company, in any matters related to the New Application or any amendment thereof as they or any of them may approve as necessary or desirable; and it is</w:t>
      </w:r>
    </w:p>
    <w:p>
      <w:pPr>
        <w:spacing w:after="0" w:line="176" w:lineRule="exact"/>
        <w:rPr>
          <w:sz w:val="20"/>
          <w:szCs w:val="20"/>
          <w:color w:val="auto"/>
        </w:rPr>
      </w:pPr>
    </w:p>
    <w:p>
      <w:pPr>
        <w:ind w:left="20" w:right="199"/>
        <w:spacing w:after="0" w:line="258" w:lineRule="auto"/>
        <w:rPr>
          <w:sz w:val="20"/>
          <w:szCs w:val="20"/>
          <w:color w:val="auto"/>
        </w:rPr>
      </w:pPr>
      <w:r>
        <w:rPr>
          <w:rFonts w:ascii="Times New Roman" w:cs="Times New Roman" w:eastAsia="Times New Roman" w:hAnsi="Times New Roman"/>
          <w:sz w:val="18"/>
          <w:szCs w:val="18"/>
          <w:color w:val="auto"/>
        </w:rPr>
        <w:t>FURTHER RESOLVED, that the Authorized Officers of each Company be, and each of them acting singly hereby is, authorized to execute and cause to be filed the New Application and to take such further actions and execute and file such further amendments or other documents as may be necessary, desirable, or appropriate to the implementation and performance of the preceding resolutions and the matters contemplated therein, the Authorized Officer’s execution thereof to be conclusive evidence of such approval; and it is</w:t>
      </w:r>
    </w:p>
    <w:p>
      <w:pPr>
        <w:spacing w:after="0" w:line="183" w:lineRule="exact"/>
        <w:rPr>
          <w:sz w:val="20"/>
          <w:szCs w:val="20"/>
          <w:color w:val="auto"/>
        </w:rPr>
      </w:pPr>
    </w:p>
    <w:p>
      <w:pPr>
        <w:ind w:left="20" w:right="159"/>
        <w:spacing w:after="0" w:line="258" w:lineRule="auto"/>
        <w:rPr>
          <w:sz w:val="20"/>
          <w:szCs w:val="20"/>
          <w:color w:val="auto"/>
        </w:rPr>
      </w:pPr>
      <w:r>
        <w:rPr>
          <w:rFonts w:ascii="Times New Roman" w:cs="Times New Roman" w:eastAsia="Times New Roman" w:hAnsi="Times New Roman"/>
          <w:sz w:val="18"/>
          <w:szCs w:val="18"/>
          <w:color w:val="auto"/>
        </w:rPr>
        <w:t>FURTHER RESOLVED, that the Authorized Officers of each Company be, and each of them hereby is, authorized and directed, in the name and on behalf of each Company, to execute and deliver all such certificates, instruments, and other documents, and to take or cause to be taken any and all such further actions, in each case as any such Authorized Officer may determine to be necessary, advisable or desirable to carry out fully the purpose and intent of the foregoing resolutions, including, without limitation, the incurrence and payment of fees and expenses; and it is</w:t>
      </w:r>
    </w:p>
    <w:p>
      <w:pPr>
        <w:spacing w:after="0" w:line="183" w:lineRule="exact"/>
        <w:rPr>
          <w:sz w:val="20"/>
          <w:szCs w:val="20"/>
          <w:color w:val="auto"/>
        </w:rPr>
      </w:pPr>
    </w:p>
    <w:p>
      <w:pPr>
        <w:ind w:left="20" w:right="219"/>
        <w:spacing w:after="0" w:line="266" w:lineRule="auto"/>
        <w:rPr>
          <w:sz w:val="20"/>
          <w:szCs w:val="20"/>
          <w:color w:val="auto"/>
        </w:rPr>
      </w:pPr>
      <w:r>
        <w:rPr>
          <w:rFonts w:ascii="Times New Roman" w:cs="Times New Roman" w:eastAsia="Times New Roman" w:hAnsi="Times New Roman"/>
          <w:sz w:val="18"/>
          <w:szCs w:val="18"/>
          <w:color w:val="auto"/>
        </w:rPr>
        <w:t>FURTHER RESOLVED, that any and all actions previously taken by each Company or any of its directors or officers in connection with the actions contemplated by the foregoing resolutions be, and each of them hereby is, ratified, confirmed, and approved in all respects as and for the acts and deeds of each Company.</w:t>
      </w:r>
    </w:p>
    <w:p>
      <w:pPr>
        <w:sectPr>
          <w:pgSz w:w="11900" w:h="16838" w:orient="portrait"/>
          <w:cols w:equalWidth="0" w:num="1">
            <w:col w:w="9019"/>
          </w:cols>
          <w:pgMar w:left="1440" w:top="266" w:right="1440" w:bottom="1440" w:gutter="0" w:footer="0" w:header="0"/>
        </w:sectPr>
      </w:pPr>
    </w:p>
    <w:bookmarkStart w:id="100" w:name="page101"/>
    <w:bookmarkEnd w:id="100"/>
    <w:p>
      <w:pPr>
        <w:ind w:left="5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CARLYLE SECURED LENDING, INC.</w:t>
      </w:r>
    </w:p>
    <w:p>
      <w:pPr>
        <w:spacing w:after="0" w:line="27"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18"/>
          <w:szCs w:val="18"/>
          <w:color w:val="auto"/>
        </w:rPr>
        <w:t>CARLYLE CREDIT SOLUTIONS, INC.</w:t>
      </w:r>
    </w:p>
    <w:p>
      <w:pPr>
        <w:spacing w:after="0" w:line="2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Linda Pace</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CARLYLE SECURED LENDING III</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1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Authorizations for BDCs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Authorization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Carlyle Tactical Private Credit Fund</w:t>
      </w:r>
    </w:p>
    <w:p>
      <w:pPr>
        <w:spacing w:after="0" w:line="207" w:lineRule="exact"/>
        <w:rPr>
          <w:sz w:val="20"/>
          <w:szCs w:val="20"/>
          <w:color w:val="auto"/>
        </w:rPr>
      </w:pPr>
    </w:p>
    <w:p>
      <w:pPr>
        <w:ind w:left="20" w:right="159"/>
        <w:spacing w:after="0" w:line="255" w:lineRule="auto"/>
        <w:rPr>
          <w:sz w:val="20"/>
          <w:szCs w:val="20"/>
          <w:color w:val="auto"/>
        </w:rPr>
      </w:pPr>
      <w:r>
        <w:rPr>
          <w:rFonts w:ascii="Times New Roman" w:cs="Times New Roman" w:eastAsia="Times New Roman" w:hAnsi="Times New Roman"/>
          <w:sz w:val="18"/>
          <w:szCs w:val="18"/>
          <w:color w:val="auto"/>
        </w:rPr>
        <w:t>The undersigned hereby certifies that he is the President of Carlyle Tactical Private Credit Fund (the “Fund”); that with respect to the attached Application (the “Application”) for exemption from certain provisions of the Investment Company Act of 1940, as amended, all actions necessary to authorize the execution and filing of the Application under the respective declaration of trust and by-laws of the Fund have been taken and the person filing the Application on behalf of the Fund is fully authorized to do so; and that the board of trustees of Carlyle Tactical Private Credit Fund has duly adopted the following resolutions, at a meeting duly called and held on March 4, 2021, at which a quorum was present and acting throughout:</w:t>
      </w:r>
    </w:p>
    <w:p>
      <w:pPr>
        <w:spacing w:after="0" w:line="189" w:lineRule="exact"/>
        <w:rPr>
          <w:sz w:val="20"/>
          <w:szCs w:val="20"/>
          <w:color w:val="auto"/>
        </w:rPr>
      </w:pPr>
    </w:p>
    <w:p>
      <w:pPr>
        <w:ind w:left="20" w:right="79"/>
        <w:spacing w:after="0" w:line="256" w:lineRule="auto"/>
        <w:rPr>
          <w:sz w:val="20"/>
          <w:szCs w:val="20"/>
          <w:color w:val="auto"/>
        </w:rPr>
      </w:pPr>
      <w:r>
        <w:rPr>
          <w:rFonts w:ascii="Times New Roman" w:cs="Times New Roman" w:eastAsia="Times New Roman" w:hAnsi="Times New Roman"/>
          <w:sz w:val="18"/>
          <w:szCs w:val="18"/>
          <w:color w:val="auto"/>
        </w:rPr>
        <w:t>NOW, THEREFORE, BE IT RESOLVED, that the officers of the Fund (each, an “Authorized Officer” and, collectively, “Authorized Officers”) be, and hereby are, authorized to prepare, or to cause to be prepared, executed and filed with the Securities and Exchange Commission (the “SEC”) an application for an order pursuant to Sections 17(d) and 57(i) of the Investment Company Act of 1940, as amended (the “1940 Act”), and Rule 17d-1 under the 1940 Act, to permit certain joint transactions that otherwise may be prohibited by Section 17(d) and 57(a)(4) of the 1940 Act and Rule 17d-1 under the 1940 Act (the “New Application”) for the Fund; and it is</w:t>
      </w:r>
    </w:p>
    <w:p>
      <w:pPr>
        <w:spacing w:after="0" w:line="187" w:lineRule="exact"/>
        <w:rPr>
          <w:sz w:val="20"/>
          <w:szCs w:val="20"/>
          <w:color w:val="auto"/>
        </w:rPr>
      </w:pPr>
    </w:p>
    <w:p>
      <w:pPr>
        <w:jc w:val="both"/>
        <w:ind w:left="20" w:right="199"/>
        <w:spacing w:after="0" w:line="266" w:lineRule="auto"/>
        <w:rPr>
          <w:sz w:val="20"/>
          <w:szCs w:val="20"/>
          <w:color w:val="auto"/>
        </w:rPr>
      </w:pPr>
      <w:r>
        <w:rPr>
          <w:rFonts w:ascii="Times New Roman" w:cs="Times New Roman" w:eastAsia="Times New Roman" w:hAnsi="Times New Roman"/>
          <w:sz w:val="18"/>
          <w:szCs w:val="18"/>
          <w:color w:val="auto"/>
        </w:rPr>
        <w:t>FURTHER RESOLVED, that the Authorized Officers of the Fund be, and each of them hereby is, authorized to take such other action, and to make such representations on behalf of the Fund, in any matters related to the New Application or any amendment thereof as they or any of them may approve as necessary or desirable; and it is</w:t>
      </w:r>
    </w:p>
    <w:p>
      <w:pPr>
        <w:spacing w:after="0" w:line="176" w:lineRule="exact"/>
        <w:rPr>
          <w:sz w:val="20"/>
          <w:szCs w:val="20"/>
          <w:color w:val="auto"/>
        </w:rPr>
      </w:pPr>
    </w:p>
    <w:p>
      <w:pPr>
        <w:ind w:left="20" w:right="139"/>
        <w:spacing w:after="0" w:line="258" w:lineRule="auto"/>
        <w:rPr>
          <w:sz w:val="20"/>
          <w:szCs w:val="20"/>
          <w:color w:val="auto"/>
        </w:rPr>
      </w:pPr>
      <w:r>
        <w:rPr>
          <w:rFonts w:ascii="Times New Roman" w:cs="Times New Roman" w:eastAsia="Times New Roman" w:hAnsi="Times New Roman"/>
          <w:sz w:val="18"/>
          <w:szCs w:val="18"/>
          <w:color w:val="auto"/>
        </w:rPr>
        <w:t>FURTHER RESOLVED, that the Authorized Officers of the Fund be, and each of them acting singly hereby is, authorized to execute and cause to be filed the New Application and to take such further actions and execute and file such further amendments or other documents as may be necessary, desirable, or appropriate to the implementation and performance of the preceding resolutions and the matters contemplated therein, the Authorized Officer’s execution thereof to be conclusive evidence of such approval; and it is</w:t>
      </w:r>
    </w:p>
    <w:p>
      <w:pPr>
        <w:spacing w:after="0" w:line="183" w:lineRule="exact"/>
        <w:rPr>
          <w:sz w:val="20"/>
          <w:szCs w:val="20"/>
          <w:color w:val="auto"/>
        </w:rPr>
      </w:pPr>
    </w:p>
    <w:p>
      <w:pPr>
        <w:ind w:left="20" w:right="99"/>
        <w:spacing w:after="0" w:line="258" w:lineRule="auto"/>
        <w:rPr>
          <w:sz w:val="20"/>
          <w:szCs w:val="20"/>
          <w:color w:val="auto"/>
        </w:rPr>
      </w:pPr>
      <w:r>
        <w:rPr>
          <w:rFonts w:ascii="Times New Roman" w:cs="Times New Roman" w:eastAsia="Times New Roman" w:hAnsi="Times New Roman"/>
          <w:sz w:val="18"/>
          <w:szCs w:val="18"/>
          <w:color w:val="auto"/>
        </w:rPr>
        <w:t>FURTHER RESOLVED, that the Authorized Officers of the Fund be, and each of them hereby is, authorized and directed, in the name and on behalf of the Fund, to execute and deliver all such certificates, instruments, and other documents, and to take or cause to be taken any and all such further actions, in each case as any such Authorized Officer may determine to be necessary, advisable or desirable to carry out fully the purpose and intent of the foregoing resolutions, including, without limitation, the incurrence and payment of fees and expenses; and it is</w:t>
      </w:r>
    </w:p>
    <w:p>
      <w:pPr>
        <w:spacing w:after="0" w:line="183" w:lineRule="exact"/>
        <w:rPr>
          <w:sz w:val="20"/>
          <w:szCs w:val="20"/>
          <w:color w:val="auto"/>
        </w:rPr>
      </w:pPr>
    </w:p>
    <w:p>
      <w:pPr>
        <w:jc w:val="both"/>
        <w:ind w:left="20" w:right="19"/>
        <w:spacing w:after="0" w:line="266" w:lineRule="auto"/>
        <w:rPr>
          <w:sz w:val="20"/>
          <w:szCs w:val="20"/>
          <w:color w:val="auto"/>
        </w:rPr>
      </w:pPr>
      <w:r>
        <w:rPr>
          <w:rFonts w:ascii="Times New Roman" w:cs="Times New Roman" w:eastAsia="Times New Roman" w:hAnsi="Times New Roman"/>
          <w:sz w:val="18"/>
          <w:szCs w:val="18"/>
          <w:color w:val="auto"/>
        </w:rPr>
        <w:t>FURTHER RESOLVED, that any and all actions previously taken by the Fund or any of its trustees or officers in connection with the actions contemplated by the foregoing resolutions be, and each of them hereby is, ratified, confirmed, and approved in all respects as and for the acts and deeds of the Fund.</w:t>
      </w:r>
    </w:p>
    <w:p>
      <w:pPr>
        <w:sectPr>
          <w:pgSz w:w="11900" w:h="16838" w:orient="portrait"/>
          <w:cols w:equalWidth="0" w:num="1">
            <w:col w:w="9019"/>
          </w:cols>
          <w:pgMar w:left="1440" w:top="266" w:right="1440" w:bottom="1440" w:gutter="0" w:footer="0" w:header="0"/>
        </w:sectPr>
      </w:pPr>
    </w:p>
    <w:bookmarkStart w:id="102" w:name="page103"/>
    <w:bookmarkEnd w:id="102"/>
    <w:p>
      <w:pPr>
        <w:ind w:left="54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CARLYLE TACTICAL PRIVATE CREDIT</w:t>
      </w:r>
    </w:p>
    <w:p>
      <w:pPr>
        <w:spacing w:after="0" w:line="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By: /s/ Joshua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17145</wp:posOffset>
            </wp:positionV>
            <wp:extent cx="2108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Joshua Lefkowitz</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1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Authorizations for CTAC</w:t>
      </w:r>
      <w:r>
        <w:rPr>
          <w:rFonts w:ascii="Times New Roman" w:cs="Times New Roman" w:eastAsia="Times New Roman" w:hAnsi="Times New Roman"/>
          <w:sz w:val="18"/>
          <w:szCs w:val="18"/>
          <w:color w:val="auto"/>
        </w:rPr>
        <w:t>]</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decimal"/>
      <w:start w:val="4"/>
    </w:lvl>
  </w:abstractNum>
  <w:abstractNum w:abstractNumId="1">
    <w:nsid w:val="23F9C13C"/>
    <w:multiLevelType w:val="hybridMultilevel"/>
    <w:lvl w:ilvl="0">
      <w:lvlJc w:val="left"/>
      <w:lvlText w:val="%1"/>
      <w:numFmt w:val="upperLetter"/>
      <w:start w:val="35"/>
    </w:lvl>
  </w:abstractNum>
  <w:abstractNum w:abstractNumId="2">
    <w:nsid w:val="649BB77C"/>
    <w:multiLevelType w:val="hybridMultilevel"/>
    <w:lvl w:ilvl="0">
      <w:lvlJc w:val="left"/>
      <w:lvlText w:val="%1"/>
      <w:numFmt w:val="upperLetter"/>
      <w:start w:val="35"/>
    </w:lvl>
  </w:abstractNum>
  <w:abstractNum w:abstractNumId="3">
    <w:nsid w:val="275AC794"/>
    <w:multiLevelType w:val="hybridMultilevel"/>
    <w:lvl w:ilvl="0">
      <w:lvlJc w:val="left"/>
      <w:lvlText w:val="%1."/>
      <w:numFmt w:val="upperLetter"/>
      <w:start w:val="9"/>
    </w:lvl>
  </w:abstractNum>
  <w:abstractNum w:abstractNumId="4">
    <w:nsid w:val="39386575"/>
    <w:multiLevelType w:val="hybridMultilevel"/>
    <w:lvl w:ilvl="0">
      <w:lvlJc w:val="left"/>
      <w:lvlText w:val="%1."/>
      <w:numFmt w:val="upperLetter"/>
      <w:start w:val="1"/>
    </w:lvl>
  </w:abstractNum>
  <w:abstractNum w:abstractNumId="5">
    <w:nsid w:val="1CF10FD8"/>
    <w:multiLevelType w:val="hybridMultilevel"/>
    <w:lvl w:ilvl="0">
      <w:lvlJc w:val="left"/>
      <w:lvlText w:val="1"/>
      <w:numFmt w:val="bullet"/>
      <w:start w:val="1"/>
    </w:lvl>
  </w:abstractNum>
  <w:abstractNum w:abstractNumId="6">
    <w:nsid w:val="180115BE"/>
    <w:multiLevelType w:val="hybridMultilevel"/>
    <w:lvl w:ilvl="0">
      <w:lvlJc w:val="left"/>
      <w:lvlText w:val="2"/>
      <w:numFmt w:val="bullet"/>
      <w:start w:val="1"/>
    </w:lvl>
  </w:abstractNum>
  <w:abstractNum w:abstractNumId="7">
    <w:nsid w:val="235BA861"/>
    <w:multiLevelType w:val="hybridMultilevel"/>
    <w:lvl w:ilvl="0">
      <w:lvlJc w:val="left"/>
      <w:lvlText w:val="%1."/>
      <w:numFmt w:val="upperLetter"/>
      <w:start w:val="2"/>
    </w:lvl>
    <w:lvl w:ilvl="1">
      <w:lvlJc w:val="left"/>
      <w:lvlText w:val="•"/>
      <w:numFmt w:val="bullet"/>
      <w:start w:val="1"/>
    </w:lvl>
  </w:abstractNum>
  <w:abstractNum w:abstractNumId="8">
    <w:nsid w:val="47398C89"/>
    <w:multiLevelType w:val="hybridMultilevel"/>
    <w:lvl w:ilvl="0">
      <w:lvlJc w:val="left"/>
      <w:lvlText w:val="3"/>
      <w:numFmt w:val="bullet"/>
      <w:start w:val="1"/>
    </w:lvl>
  </w:abstractNum>
  <w:abstractNum w:abstractNumId="9">
    <w:nsid w:val="354FE9F9"/>
    <w:multiLevelType w:val="hybridMultilevel"/>
    <w:lvl w:ilvl="0">
      <w:lvlJc w:val="left"/>
      <w:lvlText w:val="4"/>
      <w:numFmt w:val="bullet"/>
      <w:start w:val="1"/>
    </w:lvl>
  </w:abstractNum>
  <w:abstractNum w:abstractNumId="10">
    <w:nsid w:val="15B5AF5C"/>
    <w:multiLevelType w:val="hybridMultilevel"/>
    <w:lvl w:ilvl="0">
      <w:lvlJc w:val="left"/>
      <w:lvlText w:val="5"/>
      <w:numFmt w:val="bullet"/>
      <w:start w:val="1"/>
    </w:lvl>
  </w:abstractNum>
  <w:abstractNum w:abstractNumId="11">
    <w:nsid w:val="741226BB"/>
    <w:multiLevelType w:val="hybridMultilevel"/>
    <w:lvl w:ilvl="0">
      <w:lvlJc w:val="left"/>
      <w:lvlText w:val="%1."/>
      <w:numFmt w:val="upperLetter"/>
      <w:start w:val="2"/>
    </w:lvl>
    <w:lvl w:ilvl="1">
      <w:lvlJc w:val="left"/>
      <w:lvlText w:val="•"/>
      <w:numFmt w:val="bullet"/>
      <w:start w:val="1"/>
    </w:lvl>
  </w:abstractNum>
  <w:abstractNum w:abstractNumId="12">
    <w:nsid w:val="D34B6A8"/>
    <w:multiLevelType w:val="hybridMultilevel"/>
    <w:lvl w:ilvl="0">
      <w:lvlJc w:val="left"/>
      <w:lvlText w:val="6"/>
      <w:numFmt w:val="bullet"/>
      <w:start w:val="1"/>
    </w:lvl>
  </w:abstractNum>
  <w:abstractNum w:abstractNumId="13">
    <w:nsid w:val="10233C99"/>
    <w:multiLevelType w:val="hybridMultilevel"/>
    <w:lvl w:ilvl="0">
      <w:lvlJc w:val="left"/>
      <w:lvlText w:val="7"/>
      <w:numFmt w:val="bullet"/>
      <w:start w:val="1"/>
    </w:lvl>
  </w:abstractNum>
  <w:abstractNum w:abstractNumId="14">
    <w:nsid w:val="3F6AB60F"/>
    <w:multiLevelType w:val="hybridMultilevel"/>
    <w:lvl w:ilvl="0">
      <w:lvlJc w:val="left"/>
      <w:lvlText w:val="(%1)"/>
      <w:numFmt w:val="upperLetter"/>
      <w:start w:val="1"/>
    </w:lvl>
  </w:abstractNum>
  <w:abstractNum w:abstractNumId="15">
    <w:nsid w:val="61574095"/>
    <w:multiLevelType w:val="hybridMultilevel"/>
    <w:lvl w:ilvl="0">
      <w:lvlJc w:val="left"/>
      <w:lvlText w:val="8"/>
      <w:numFmt w:val="bullet"/>
      <w:start w:val="1"/>
    </w:lvl>
  </w:abstractNum>
  <w:abstractNum w:abstractNumId="16">
    <w:nsid w:val="7E0C57B1"/>
    <w:multiLevelType w:val="hybridMultilevel"/>
    <w:lvl w:ilvl="0">
      <w:lvlJc w:val="left"/>
      <w:lvlText w:val="(%1)"/>
      <w:numFmt w:val="lowerRoman"/>
      <w:start w:val="1"/>
    </w:lvl>
  </w:abstractNum>
  <w:abstractNum w:abstractNumId="17">
    <w:nsid w:val="77AE35EB"/>
    <w:multiLevelType w:val="hybridMultilevel"/>
    <w:lvl w:ilvl="0">
      <w:lvlJc w:val="left"/>
      <w:lvlText w:val="%1."/>
      <w:numFmt w:val="upperLetter"/>
      <w:start w:val="35"/>
    </w:lvl>
  </w:abstractNum>
  <w:abstractNum w:abstractNumId="18">
    <w:nsid w:val="579BE4F1"/>
    <w:multiLevelType w:val="hybridMultilevel"/>
    <w:lvl w:ilvl="0">
      <w:lvlJc w:val="left"/>
      <w:lvlText w:val="%1."/>
      <w:numFmt w:val="upperLetter"/>
      <w:start w:val="1"/>
    </w:lvl>
  </w:abstractNum>
  <w:abstractNum w:abstractNumId="19">
    <w:nsid w:val="310C50B3"/>
    <w:multiLevelType w:val="hybridMultilevel"/>
    <w:lvl w:ilvl="0">
      <w:lvlJc w:val="left"/>
      <w:lvlText w:val="9"/>
      <w:numFmt w:val="bullet"/>
      <w:start w:val="1"/>
    </w:lvl>
  </w:abstractNum>
  <w:abstractNum w:abstractNumId="20">
    <w:nsid w:val="5FF87E05"/>
    <w:multiLevelType w:val="hybridMultilevel"/>
    <w:lvl w:ilvl="0">
      <w:lvlJc w:val="left"/>
      <w:lvlText w:val="%1."/>
      <w:numFmt w:val="upperLetter"/>
      <w:start w:val="2"/>
    </w:lvl>
  </w:abstractNum>
  <w:abstractNum w:abstractNumId="21">
    <w:nsid w:val="2F305DEF"/>
    <w:multiLevelType w:val="hybridMultilevel"/>
    <w:lvl w:ilvl="0">
      <w:lvlJc w:val="left"/>
      <w:lvlText w:val="%1."/>
      <w:numFmt w:val="upperLetter"/>
      <w:start w:val="3"/>
    </w:lvl>
  </w:abstractNum>
  <w:abstractNum w:abstractNumId="22">
    <w:nsid w:val="25A70BF7"/>
    <w:multiLevelType w:val="hybridMultilevel"/>
    <w:lvl w:ilvl="0">
      <w:lvlJc w:val="left"/>
      <w:lvlText w:val="%1."/>
      <w:numFmt w:val="upperLetter"/>
      <w:start w:val="4"/>
    </w:lvl>
  </w:abstractNum>
  <w:abstractNum w:abstractNumId="23">
    <w:nsid w:val="1DBABF00"/>
    <w:multiLevelType w:val="hybridMultilevel"/>
    <w:lvl w:ilvl="0">
      <w:lvlJc w:val="left"/>
      <w:lvlText w:val="%1."/>
      <w:numFmt w:val="upperLetter"/>
      <w:start w:val="5"/>
    </w:lvl>
  </w:abstractNum>
  <w:abstractNum w:abstractNumId="24">
    <w:nsid w:val="4AD084E9"/>
    <w:multiLevelType w:val="hybridMultilevel"/>
    <w:lvl w:ilvl="0">
      <w:lvlJc w:val="left"/>
      <w:lvlText w:val="%1."/>
      <w:numFmt w:val="upperLetter"/>
      <w:start w:val="6"/>
    </w:lvl>
  </w:abstractNum>
  <w:abstractNum w:abstractNumId="25">
    <w:nsid w:val="1F48EAA1"/>
    <w:multiLevelType w:val="hybridMultilevel"/>
    <w:lvl w:ilvl="0">
      <w:lvlJc w:val="left"/>
      <w:lvlText w:val="%1."/>
      <w:numFmt w:val="upperLetter"/>
      <w:start w:val="6"/>
    </w:lvl>
  </w:abstractNum>
  <w:abstractNum w:abstractNumId="26">
    <w:nsid w:val="1381823A"/>
    <w:multiLevelType w:val="hybridMultilevel"/>
    <w:lvl w:ilvl="0">
      <w:lvlJc w:val="left"/>
      <w:lvlText w:val="%1."/>
      <w:numFmt w:val="upperLetter"/>
      <w:start w:val="7"/>
    </w:lvl>
  </w:abstractNum>
  <w:abstractNum w:abstractNumId="27">
    <w:nsid w:val="5DB70AE5"/>
    <w:multiLevelType w:val="hybridMultilevel"/>
    <w:lvl w:ilvl="0">
      <w:lvlJc w:val="left"/>
      <w:lvlText w:val="%1."/>
      <w:numFmt w:val="upperLetter"/>
      <w:start w:val="8"/>
    </w:lvl>
  </w:abstractNum>
  <w:abstractNum w:abstractNumId="28">
    <w:nsid w:val="100F8FCA"/>
    <w:multiLevelType w:val="hybridMultilevel"/>
    <w:lvl w:ilvl="0">
      <w:lvlJc w:val="left"/>
      <w:lvlText w:val="%1."/>
      <w:numFmt w:val="upperLetter"/>
      <w:start w:val="61"/>
    </w:lvl>
  </w:abstractNum>
  <w:abstractNum w:abstractNumId="29">
    <w:nsid w:val="6590700B"/>
    <w:multiLevelType w:val="hybridMultilevel"/>
    <w:lvl w:ilvl="0">
      <w:lvlJc w:val="left"/>
      <w:lvlText w:val="%1."/>
      <w:numFmt w:val="upperLetter"/>
      <w:start w:val="9"/>
    </w:lvl>
  </w:abstractNum>
  <w:abstractNum w:abstractNumId="30">
    <w:nsid w:val="15014ACB"/>
    <w:multiLevelType w:val="hybridMultilevel"/>
    <w:lvl w:ilvl="0">
      <w:lvlJc w:val="left"/>
      <w:lvlText w:val="%1."/>
      <w:numFmt w:val="upperLetter"/>
      <w:start w:val="10"/>
    </w:lvl>
  </w:abstractNum>
  <w:abstractNum w:abstractNumId="31">
    <w:nsid w:val="5F5E7FD0"/>
    <w:multiLevelType w:val="hybridMultilevel"/>
    <w:lvl w:ilvl="0">
      <w:lvlJc w:val="left"/>
      <w:lvlText w:val="%1."/>
      <w:numFmt w:val="upperLetter"/>
      <w:start w:val="11"/>
    </w:lvl>
  </w:abstractNum>
  <w:abstractNum w:abstractNumId="32">
    <w:nsid w:val="98A3148"/>
    <w:multiLevelType w:val="hybridMultilevel"/>
    <w:lvl w:ilvl="0">
      <w:lvlJc w:val="left"/>
      <w:lvlText w:val="%1."/>
      <w:numFmt w:val="upperLetter"/>
      <w:start w:val="12"/>
    </w:lvl>
  </w:abstractNum>
  <w:abstractNum w:abstractNumId="33">
    <w:nsid w:val="799D0247"/>
    <w:multiLevelType w:val="hybridMultilevel"/>
    <w:lvl w:ilvl="0">
      <w:lvlJc w:val="left"/>
      <w:lvlText w:val="%1."/>
      <w:numFmt w:val="upperLetter"/>
      <w:start w:val="13"/>
    </w:lvl>
  </w:abstractNum>
  <w:abstractNum w:abstractNumId="34">
    <w:nsid w:val="6B94764"/>
    <w:multiLevelType w:val="hybridMultilevel"/>
    <w:lvl w:ilvl="0">
      <w:lvlJc w:val="left"/>
      <w:lvlText w:val="%1."/>
      <w:numFmt w:val="upperLetter"/>
      <w:start w:val="61"/>
    </w:lvl>
  </w:abstractNum>
  <w:abstractNum w:abstractNumId="35">
    <w:nsid w:val="42C296BD"/>
    <w:multiLevelType w:val="hybridMultilevel"/>
    <w:lvl w:ilvl="0">
      <w:lvlJc w:val="left"/>
      <w:lvlText w:val="%1."/>
      <w:numFmt w:val="upperLetter"/>
      <w:start w:val="1"/>
    </w:lvl>
  </w:abstractNum>
  <w:abstractNum w:abstractNumId="36">
    <w:nsid w:val="168E121F"/>
    <w:multiLevelType w:val="hybridMultilevel"/>
    <w:lvl w:ilvl="0">
      <w:lvlJc w:val="left"/>
      <w:lvlText w:val="%1."/>
      <w:numFmt w:val="decimal"/>
      <w:start w:val="1"/>
    </w:lvl>
  </w:abstractNum>
  <w:abstractNum w:abstractNumId="37">
    <w:nsid w:val="1EBA5D23"/>
    <w:multiLevelType w:val="hybridMultilevel"/>
    <w:lvl w:ilvl="0">
      <w:lvlJc w:val="left"/>
      <w:lvlText w:val="%1."/>
      <w:numFmt w:val="lowerLetter"/>
      <w:start w:val="1"/>
    </w:lvl>
  </w:abstractNum>
  <w:abstractNum w:abstractNumId="38">
    <w:nsid w:val="661E3F1E"/>
    <w:multiLevelType w:val="hybridMultilevel"/>
    <w:lvl w:ilvl="0">
      <w:lvlJc w:val="left"/>
      <w:lvlText w:val="%1"/>
      <w:numFmt w:val="decimal"/>
      <w:start w:val="10"/>
    </w:lvl>
  </w:abstractNum>
  <w:abstractNum w:abstractNumId="39">
    <w:nsid w:val="5DC79EA8"/>
    <w:multiLevelType w:val="hybridMultilevel"/>
    <w:lvl w:ilvl="0">
      <w:lvlJc w:val="left"/>
      <w:lvlText w:val="%1."/>
      <w:numFmt w:val="lowerLetter"/>
      <w:start w:val="2"/>
    </w:lvl>
  </w:abstractNum>
  <w:abstractNum w:abstractNumId="40">
    <w:nsid w:val="540A471C"/>
    <w:multiLevelType w:val="hybridMultilevel"/>
    <w:lvl w:ilvl="0">
      <w:lvlJc w:val="left"/>
      <w:lvlText w:val="%1"/>
      <w:numFmt w:val="decimal"/>
      <w:start w:val="12"/>
    </w:lvl>
  </w:abstractNum>
  <w:abstractNum w:abstractNumId="41">
    <w:nsid w:val="7BD3EE7B"/>
    <w:multiLevelType w:val="hybridMultilevel"/>
    <w:lvl w:ilvl="0">
      <w:lvlJc w:val="left"/>
      <w:lvlText w:val="%1."/>
      <w:numFmt w:val="lowerLetter"/>
      <w:start w:val="3"/>
    </w:lvl>
  </w:abstractNum>
  <w:abstractNum w:abstractNumId="42">
    <w:nsid w:val="51D9C564"/>
    <w:multiLevelType w:val="hybridMultilevel"/>
    <w:lvl w:ilvl="0">
      <w:lvlJc w:val="left"/>
      <w:lvlText w:val="%1."/>
      <w:numFmt w:val="decimal"/>
      <w:start w:val="2"/>
    </w:lvl>
  </w:abstractNum>
  <w:abstractNum w:abstractNumId="43">
    <w:nsid w:val="613EFDC5"/>
    <w:multiLevelType w:val="hybridMultilevel"/>
    <w:lvl w:ilvl="0">
      <w:lvlJc w:val="left"/>
      <w:lvlText w:val="%1."/>
      <w:numFmt w:val="decimal"/>
      <w:start w:val="3"/>
    </w:lvl>
  </w:abstractNum>
  <w:abstractNum w:abstractNumId="44">
    <w:nsid w:val="BF72B14"/>
    <w:multiLevelType w:val="hybridMultilevel"/>
    <w:lvl w:ilvl="0">
      <w:lvlJc w:val="left"/>
      <w:lvlText w:val="%1."/>
      <w:numFmt w:val="lowerLetter"/>
      <w:start w:val="1"/>
    </w:lvl>
  </w:abstractNum>
  <w:abstractNum w:abstractNumId="45">
    <w:nsid w:val="11447B73"/>
    <w:multiLevelType w:val="hybridMultilevel"/>
    <w:lvl w:ilvl="0">
      <w:lvlJc w:val="left"/>
      <w:lvlText w:val="%1."/>
      <w:numFmt w:val="lowerLetter"/>
      <w:start w:val="2"/>
    </w:lvl>
  </w:abstractNum>
  <w:abstractNum w:abstractNumId="46">
    <w:nsid w:val="42963E5A"/>
    <w:multiLevelType w:val="hybridMultilevel"/>
    <w:lvl w:ilvl="0">
      <w:lvlJc w:val="left"/>
      <w:lvlText w:val="%1."/>
      <w:numFmt w:val="decimal"/>
      <w:start w:val="4"/>
    </w:lvl>
  </w:abstractNum>
  <w:abstractNum w:abstractNumId="47">
    <w:nsid w:val="A0382C5"/>
    <w:multiLevelType w:val="hybridMultilevel"/>
    <w:lvl w:ilvl="0">
      <w:lvlJc w:val="left"/>
      <w:lvlText w:val="%1"/>
      <w:numFmt w:val="decimal"/>
      <w:start w:val="14"/>
    </w:lvl>
  </w:abstractNum>
  <w:abstractNum w:abstractNumId="48">
    <w:nsid w:val="8F2B15E"/>
    <w:multiLevelType w:val="hybridMultilevel"/>
    <w:lvl w:ilvl="0">
      <w:lvlJc w:val="left"/>
      <w:lvlText w:val="%1."/>
      <w:numFmt w:val="lowerLetter"/>
      <w:start w:val="1"/>
    </w:lvl>
  </w:abstractNum>
  <w:abstractNum w:abstractNumId="49">
    <w:nsid w:val="1A32234B"/>
    <w:multiLevelType w:val="hybridMultilevel"/>
    <w:lvl w:ilvl="0">
      <w:lvlJc w:val="left"/>
      <w:lvlText w:val="%1."/>
      <w:numFmt w:val="lowerLetter"/>
      <w:start w:val="2"/>
    </w:lvl>
  </w:abstractNum>
  <w:abstractNum w:abstractNumId="50">
    <w:nsid w:val="3B0FD379"/>
    <w:multiLevelType w:val="hybridMultilevel"/>
    <w:lvl w:ilvl="0">
      <w:lvlJc w:val="left"/>
      <w:lvlText w:val="%1"/>
      <w:numFmt w:val="decimal"/>
      <w:start w:val="15"/>
    </w:lvl>
  </w:abstractNum>
  <w:abstractNum w:abstractNumId="51">
    <w:nsid w:val="68EB2F63"/>
    <w:multiLevelType w:val="hybridMultilevel"/>
    <w:lvl w:ilvl="0">
      <w:lvlJc w:val="left"/>
      <w:lvlText w:val="%1."/>
      <w:numFmt w:val="decimal"/>
      <w:start w:val="5"/>
    </w:lvl>
  </w:abstractNum>
  <w:abstractNum w:abstractNumId="52">
    <w:nsid w:val="4962813B"/>
    <w:multiLevelType w:val="hybridMultilevel"/>
    <w:lvl w:ilvl="0">
      <w:lvlJc w:val="left"/>
      <w:lvlText w:val="%1."/>
      <w:numFmt w:val="upperLetter"/>
      <w:start w:val="2"/>
    </w:lvl>
  </w:abstractNum>
  <w:abstractNum w:abstractNumId="53">
    <w:nsid w:val="60B6DF70"/>
    <w:multiLevelType w:val="hybridMultilevel"/>
    <w:lvl w:ilvl="0">
      <w:lvlJc w:val="left"/>
      <w:lvlText w:val="%1."/>
      <w:numFmt w:val="decimal"/>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1."/>
      <w:numFmt w:val="decimal"/>
      <w:start w:val="2"/>
    </w:lvl>
  </w:abstractNum>
  <w:abstractNum w:abstractNumId="56">
    <w:nsid w:val="7FFFCA11"/>
    <w:multiLevelType w:val="hybridMultilevel"/>
    <w:lvl w:ilvl="0">
      <w:lvlJc w:val="left"/>
      <w:lvlText w:val="%1"/>
      <w:numFmt w:val="decimal"/>
      <w:start w:val="18"/>
    </w:lvl>
  </w:abstractNum>
  <w:abstractNum w:abstractNumId="57">
    <w:nsid w:val="1A27709E"/>
    <w:multiLevelType w:val="hybridMultilevel"/>
    <w:lvl w:ilvl="0">
      <w:lvlJc w:val="left"/>
      <w:lvlText w:val="%1."/>
      <w:numFmt w:val="upperLetter"/>
      <w:start w:val="3"/>
    </w:lvl>
  </w:abstractNum>
  <w:abstractNum w:abstractNumId="58">
    <w:nsid w:val="71EA1109"/>
    <w:multiLevelType w:val="hybridMultilevel"/>
    <w:lvl w:ilvl="0">
      <w:lvlJc w:val="left"/>
      <w:lvlText w:val="%1"/>
      <w:numFmt w:val="decimal"/>
      <w:start w:val="20"/>
    </w:lvl>
  </w:abstractNum>
  <w:abstractNum w:abstractNumId="59">
    <w:nsid w:val="100F59DC"/>
    <w:multiLevelType w:val="hybridMultilevel"/>
    <w:lvl w:ilvl="0">
      <w:lvlJc w:val="left"/>
      <w:lvlText w:val="%1."/>
      <w:numFmt w:val="upperLetter"/>
      <w:start w:val="4"/>
    </w:lvl>
  </w:abstractNum>
  <w:abstractNum w:abstractNumId="60">
    <w:nsid w:val="7FB7E0AA"/>
    <w:multiLevelType w:val="hybridMultilevel"/>
    <w:lvl w:ilvl="0">
      <w:lvlJc w:val="left"/>
      <w:lvlText w:val="%1"/>
      <w:numFmt w:val="decimal"/>
      <w:start w:val="23"/>
    </w:lvl>
  </w:abstractNum>
  <w:abstractNum w:abstractNumId="61">
    <w:nsid w:val="6EB5BD4"/>
    <w:multiLevelType w:val="hybridMultilevel"/>
    <w:lvl w:ilvl="0">
      <w:lvlJc w:val="left"/>
      <w:lvlText w:val="%1."/>
      <w:numFmt w:val="upperLetter"/>
      <w:start w:val="1"/>
    </w:lvl>
  </w:abstractNum>
  <w:abstractNum w:abstractNumId="62">
    <w:nsid w:val="6F6DD9AC"/>
    <w:multiLevelType w:val="hybridMultilevel"/>
    <w:lvl w:ilvl="0">
      <w:lvlJc w:val="left"/>
      <w:lvlText w:val="(%1)"/>
      <w:numFmt w:val="lowerRoman"/>
      <w:start w:val="5"/>
    </w:lvl>
  </w:abstractNum>
  <w:abstractNum w:abstractNumId="63">
    <w:nsid w:val="94211F2"/>
    <w:multiLevelType w:val="hybridMultilevel"/>
    <w:lvl w:ilvl="0">
      <w:lvlJc w:val="left"/>
      <w:lvlText w:val="%1"/>
      <w:numFmt w:val="decimal"/>
      <w:start w:val="25"/>
    </w:lvl>
  </w:abstractNum>
  <w:abstractNum w:abstractNumId="64">
    <w:nsid w:val="885E1B"/>
    <w:multiLevelType w:val="hybridMultilevel"/>
    <w:lvl w:ilvl="0">
      <w:lvlJc w:val="left"/>
      <w:lvlText w:val="%1."/>
      <w:numFmt w:val="upperLetter"/>
      <w:start w:val="2"/>
    </w:lvl>
  </w:abstractNum>
  <w:abstractNum w:abstractNumId="65">
    <w:nsid w:val="76272110"/>
    <w:multiLevelType w:val="hybridMultilevel"/>
    <w:lvl w:ilvl="0">
      <w:lvlJc w:val="left"/>
      <w:lvlText w:val="(%1)"/>
      <w:numFmt w:val="lowerRoman"/>
      <w:start w:val="1"/>
    </w:lvl>
  </w:abstractNum>
  <w:abstractNum w:abstractNumId="66">
    <w:nsid w:val="4C04A8AF"/>
    <w:multiLevelType w:val="hybridMultilevel"/>
    <w:lvl w:ilvl="0">
      <w:lvlJc w:val="left"/>
      <w:lvlText w:val="•"/>
      <w:numFmt w:val="bullet"/>
      <w:start w:val="1"/>
    </w:lvl>
  </w:abstractNum>
  <w:abstractNum w:abstractNumId="67">
    <w:nsid w:val="1716703B"/>
    <w:multiLevelType w:val="hybridMultilevel"/>
    <w:lvl w:ilvl="0">
      <w:lvlJc w:val="left"/>
      <w:lvlText w:val="•"/>
      <w:numFmt w:val="bullet"/>
      <w:start w:val="1"/>
    </w:lvl>
  </w:abstractNum>
  <w:abstractNum w:abstractNumId="68">
    <w:nsid w:val="14E17E33"/>
    <w:multiLevelType w:val="hybridMultilevel"/>
    <w:lvl w:ilvl="0">
      <w:lvlJc w:val="left"/>
      <w:lvlText w:val="%1."/>
      <w:numFmt w:val="upperLetter"/>
      <w:start w:val="22"/>
    </w:lvl>
  </w:abstractNum>
  <w:abstractNum w:abstractNumId="69">
    <w:nsid w:val="3222E7CD"/>
    <w:multiLevelType w:val="hybridMultilevel"/>
    <w:lvl w:ilvl="0">
      <w:lvlJc w:val="left"/>
      <w:lvlText w:val="%1."/>
      <w:numFmt w:val="decimal"/>
      <w:start w:val="1"/>
    </w:lvl>
    <w:lvl w:ilvl="1">
      <w:lvlJc w:val="left"/>
      <w:lvlText w:val="(%2)"/>
      <w:numFmt w:val="lowerLetter"/>
      <w:start w:val="1"/>
    </w:lvl>
  </w:abstractNum>
  <w:abstractNum w:abstractNumId="70">
    <w:nsid w:val="74DE0EE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1">
    <w:nsid w:val="68EBC550"/>
    <w:multiLevelType w:val="hybridMultilevel"/>
    <w:lvl w:ilvl="0">
      <w:lvlJc w:val="left"/>
      <w:lvlText w:val="%1"/>
      <w:numFmt w:val="decimal"/>
      <w:start w:val="26"/>
    </w:lvl>
  </w:abstractNum>
  <w:abstractNum w:abstractNumId="72">
    <w:nsid w:val="2DF6D64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3">
    <w:nsid w:val="46B7D447"/>
    <w:multiLevelType w:val="hybridMultilevel"/>
    <w:lvl w:ilvl="0">
      <w:lvlJc w:val="left"/>
      <w:lvlText w:val="%1"/>
      <w:numFmt w:val="decimal"/>
      <w:start w:val="27"/>
    </w:lvl>
  </w:abstractNum>
  <w:abstractNum w:abstractNumId="74">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5">
    <w:nsid w:val="39EE015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76">
    <w:nsid w:val="57FC4FB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77">
    <w:nsid w:val="CC1016F"/>
    <w:multiLevelType w:val="hybridMultilevel"/>
    <w:lvl w:ilvl="0">
      <w:lvlJc w:val="left"/>
      <w:lvlText w:val="%1"/>
      <w:numFmt w:val="lowerLetter"/>
      <w:start w:val="1"/>
    </w:lvl>
    <w:lvl w:ilvl="1">
      <w:lvlJc w:val="left"/>
      <w:lvlText w:val="(%2)"/>
      <w:numFmt w:val="lowerRoman"/>
      <w:start w:val="1"/>
    </w:lvl>
  </w:abstractNum>
  <w:abstractNum w:abstractNumId="78">
    <w:nsid w:val="43F18422"/>
    <w:multiLevelType w:val="hybridMultilevel"/>
    <w:lvl w:ilvl="0">
      <w:lvlJc w:val="left"/>
      <w:lvlText w:val="(%1)"/>
      <w:numFmt w:val="lowerLetter"/>
      <w:start w:val="2"/>
    </w:lvl>
    <w:lvl w:ilvl="1">
      <w:lvlJc w:val="left"/>
      <w:lvlText w:val="(%2)"/>
      <w:numFmt w:val="lowerRoman"/>
      <w:start w:val="1"/>
    </w:lvl>
  </w:abstractNum>
  <w:abstractNum w:abstractNumId="79">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4"/>
    </w:lvl>
  </w:abstractNum>
  <w:abstractNum w:abstractNumId="80">
    <w:nsid w:val="26F324B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1">
    <w:nsid w:val="7F01579B"/>
    <w:multiLevelType w:val="hybridMultilevel"/>
    <w:lvl w:ilvl="0">
      <w:lvlJc w:val="left"/>
      <w:lvlText w:val="%1"/>
      <w:numFmt w:val="decimal"/>
      <w:start w:val="29"/>
    </w:lvl>
  </w:abstractNum>
  <w:abstractNum w:abstractNumId="82">
    <w:nsid w:val="49DA307D"/>
    <w:multiLevelType w:val="hybridMultilevel"/>
    <w:lvl w:ilvl="0">
      <w:lvlJc w:val="left"/>
      <w:lvlText w:val="%1"/>
      <w:numFmt w:val="lowerLetter"/>
      <w:start w:val="1"/>
    </w:lvl>
    <w:lvl w:ilvl="1">
      <w:lvlJc w:val="left"/>
      <w:lvlText w:val="(%2)"/>
      <w:numFmt w:val="lowerLetter"/>
      <w:start w:val="35"/>
    </w:lvl>
  </w:abstractNum>
  <w:abstractNum w:abstractNumId="83">
    <w:nsid w:val="7055A5F5"/>
    <w:multiLevelType w:val="hybridMultilevel"/>
    <w:lvl w:ilvl="0">
      <w:lvlJc w:val="left"/>
      <w:lvlText w:val="(%1)"/>
      <w:numFmt w:val="lowerLetter"/>
      <w:start w:val="3"/>
    </w:lvl>
    <w:lvl w:ilvl="1">
      <w:lvlJc w:val="left"/>
      <w:lvlText w:val="(%2)"/>
      <w:numFmt w:val="lowerLetter"/>
      <w:start w:val="9"/>
    </w:lvl>
  </w:abstractNum>
  <w:abstractNum w:abstractNumId="84">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5">
    <w:nsid w:val="50801EE1"/>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86">
    <w:nsid w:val="488AC1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87">
    <w:nsid w:val="5FB8011C"/>
    <w:multiLevelType w:val="hybridMultilevel"/>
    <w:lvl w:ilvl="0">
      <w:lvlJc w:val="left"/>
      <w:lvlText w:val="(%1)"/>
      <w:numFmt w:val="lowerRoman"/>
      <w:start w:val="2"/>
    </w:lvl>
  </w:abstractNum>
  <w:abstractNum w:abstractNumId="88">
    <w:nsid w:val="6AA78F7F"/>
    <w:multiLevelType w:val="hybridMultilevel"/>
    <w:lvl w:ilvl="0">
      <w:lvlJc w:val="left"/>
      <w:lvlText w:val="(%1)"/>
      <w:numFmt w:val="lowerLetter"/>
      <w:start w:val="2"/>
    </w:lvl>
  </w:abstractNum>
  <w:abstractNum w:abstractNumId="89">
    <w:nsid w:val="7672BD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0">
    <w:nsid w:val="6FC75AF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1">
    <w:nsid w:val="6A5F7029"/>
    <w:multiLevelType w:val="hybridMultilevel"/>
    <w:lvl w:ilvl="0">
      <w:lvlJc w:val="left"/>
      <w:lvlText w:val="%1"/>
      <w:numFmt w:val="decimal"/>
      <w:start w:val="1"/>
    </w:lvl>
    <w:lvl w:ilvl="1">
      <w:lvlJc w:val="left"/>
      <w:lvlText w:val="(%2)"/>
      <w:numFmt w:val="lowerLetter"/>
      <w:start w:val="2"/>
    </w:lvl>
  </w:abstractNum>
  <w:abstractNum w:abstractNumId="92">
    <w:nsid w:val="7D5E18F8"/>
    <w:multiLevelType w:val="hybridMultilevel"/>
    <w:lvl w:ilvl="0">
      <w:lvlJc w:val="left"/>
      <w:lvlText w:val="%1."/>
      <w:numFmt w:val="decimal"/>
      <w:start w:val="11"/>
    </w:lvl>
    <w:lvl w:ilvl="1">
      <w:lvlJc w:val="left"/>
      <w:lvlText w:val="%2"/>
      <w:numFmt w:val="lowerLetter"/>
      <w:start w:val="1"/>
    </w:lvl>
  </w:abstractNum>
  <w:abstractNum w:abstractNumId="93">
    <w:nsid w:val="5F3534A4"/>
    <w:multiLevelType w:val="hybridMultilevel"/>
    <w:lvl w:ilvl="0">
      <w:lvlJc w:val="left"/>
      <w:lvlText w:val="%1"/>
      <w:numFmt w:val="decimal"/>
      <w:start w:val="31"/>
    </w:lvl>
  </w:abstractNum>
  <w:abstractNum w:abstractNumId="94">
    <w:nsid w:val="73A1821B"/>
    <w:multiLevelType w:val="hybridMultilevel"/>
    <w:lvl w:ilvl="0">
      <w:lvlJc w:val="left"/>
      <w:lvlText w:val="%1."/>
      <w:numFmt w:val="decimal"/>
      <w:start w:val="15"/>
    </w:lvl>
  </w:abstractNum>
  <w:abstractNum w:abstractNumId="95">
    <w:nsid w:val="7DE6771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6">
    <w:nsid w:val="555C55B5"/>
    <w:multiLevelType w:val="hybridMultilevel"/>
    <w:lvl w:ilvl="0">
      <w:lvlJc w:val="left"/>
      <w:lvlText w:val="(%1)"/>
      <w:numFmt w:val="decimal"/>
      <w:start w:val="14"/>
    </w:lvl>
  </w:abstractNum>
  <w:abstractNum w:abstractNumId="97">
    <w:nsid w:val="3FA62ACA"/>
    <w:multiLevelType w:val="hybridMultilevel"/>
    <w:lvl w:ilvl="0">
      <w:lvlJc w:val="left"/>
      <w:lvlText w:val="%1"/>
      <w:numFmt w:val="decimal"/>
      <w:start w:val="1"/>
    </w:lvl>
    <w:lvl w:ilvl="1">
      <w:lvlJc w:val="left"/>
      <w:lvlText w:val="%2"/>
      <w:numFmt w:val="lowerLetter"/>
      <w:start w:val="1"/>
    </w:lvl>
    <w:lvl w:ilvl="2">
      <w:lvlJc w:val="left"/>
      <w:lvlText w:val="(%3)"/>
      <w:numFmt w:val="decimal"/>
      <w:start w:val="63"/>
    </w:lvl>
  </w:abstractNum>
  <w:abstractNum w:abstractNumId="98">
    <w:nsid w:val="14FCE74E"/>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99">
    <w:nsid w:val="6A3DD3E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00">
    <w:nsid w:val="71C91298"/>
    <w:multiLevelType w:val="hybridMultilevel"/>
    <w:lvl w:ilvl="0">
      <w:lvlJc w:val="left"/>
      <w:lvlText w:val="(%1)"/>
      <w:numFmt w:val="decimal"/>
      <w:start w:val="16"/>
    </w:lvl>
  </w:abstractNum>
  <w:abstractNum w:abstractNumId="101">
    <w:nsid w:val="9DAF632"/>
    <w:multiLevelType w:val="hybridMultilevel"/>
    <w:lvl w:ilvl="0">
      <w:lvlJc w:val="left"/>
      <w:lvlText w:val="%1."/>
      <w:numFmt w:val="decimal"/>
      <w:start w:val="4"/>
    </w:lvl>
    <w:lvl w:ilvl="1">
      <w:lvlJc w:val="left"/>
      <w:lvlText w:val="(%2)"/>
      <w:numFmt w:val="decimal"/>
      <w:start w:val="1"/>
    </w:lvl>
  </w:abstractNum>
  <w:abstractNum w:abstractNumId="102">
    <w:nsid w:val="53299938"/>
    <w:multiLevelType w:val="hybridMultilevel"/>
    <w:lvl w:ilvl="0">
      <w:lvlJc w:val="left"/>
      <w:lvlText w:val="%1"/>
      <w:numFmt w:val="decimal"/>
      <w:start w:val="1"/>
    </w:lvl>
    <w:lvl w:ilvl="1">
      <w:lvlJc w:val="left"/>
      <w:lvlText w:val="(%2)"/>
      <w:numFmt w:val="decimal"/>
      <w:start w:val="45"/>
    </w:lvl>
  </w:abstractNum>
  <w:abstractNum w:abstractNumId="103">
    <w:nsid w:val="1FBFE8E0"/>
    <w:multiLevelType w:val="hybridMultilevel"/>
    <w:lvl w:ilvl="0">
      <w:lvlJc w:val="left"/>
      <w:lvlText w:val="%1."/>
      <w:numFmt w:val="decimal"/>
      <w:start w:val="5"/>
    </w:lvl>
    <w:lvl w:ilvl="1">
      <w:lvlJc w:val="left"/>
      <w:lvlText w:val="(%2)"/>
      <w:numFmt w:val="decimal"/>
      <w:start w:val="1"/>
    </w:lvl>
  </w:abstractNum>
  <w:abstractNum w:abstractNumId="104">
    <w:nsid w:val="5092CA79"/>
    <w:multiLevelType w:val="hybridMultilevel"/>
    <w:lvl w:ilvl="0">
      <w:lvlJc w:val="left"/>
      <w:lvlText w:val="(%1)"/>
      <w:numFmt w:val="decimal"/>
      <w:start w:val="2"/>
    </w:lvl>
  </w:abstractNum>
  <w:abstractNum w:abstractNumId="105">
    <w:nsid w:val="1D545C4D"/>
    <w:multiLevelType w:val="hybridMultilevel"/>
    <w:lvl w:ilvl="0">
      <w:lvlJc w:val="left"/>
      <w:lvlText w:val="%1."/>
      <w:numFmt w:val="decimal"/>
      <w:start w:val="6"/>
    </w:lvl>
  </w:abstractNum>
  <w:abstractNum w:abstractNumId="106">
    <w:nsid w:val="59ADEA3D"/>
    <w:multiLevelType w:val="hybridMultilevel"/>
    <w:lvl w:ilvl="0">
      <w:lvlJc w:val="left"/>
      <w:lvlText w:val="%1"/>
      <w:numFmt w:val="decimal"/>
      <w:start w:val="1"/>
    </w:lvl>
    <w:lvl w:ilvl="1">
      <w:lvlJc w:val="left"/>
      <w:lvlText w:val="(%2)"/>
      <w:numFmt w:val="decimal"/>
      <w:start w:val="19"/>
    </w:lvl>
  </w:abstractNum>
  <w:abstractNum w:abstractNumId="107">
    <w:nsid w:val="288F1A34"/>
    <w:multiLevelType w:val="hybridMultilevel"/>
    <w:lvl w:ilvl="0">
      <w:lvlJc w:val="left"/>
      <w:lvlText w:val="%1."/>
      <w:numFmt w:val="decimal"/>
      <w:start w:val="7"/>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2022-12-27T05:15:20Z</dcterms:created>
  <dcterms:modified xsi:type="dcterms:W3CDTF">2022-12-27T05:15:20Z</dcterms:modified>
</cp:coreProperties>
</file>